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kern w:val="0"/>
        </w:rPr>
      </w:pPr>
    </w:p>
    <w:p>
      <w:pPr>
        <w:widowControl/>
        <w:spacing w:line="360" w:lineRule="auto"/>
        <w:jc w:val="left"/>
        <w:rPr>
          <w:rFonts w:hint="eastAsia" w:ascii="宋体" w:hAnsi="宋体" w:eastAsia="宋体" w:cs="宋体"/>
          <w:b/>
          <w:kern w:val="0"/>
        </w:rPr>
      </w:pPr>
    </w:p>
    <w:p>
      <w:pPr>
        <w:widowControl/>
        <w:spacing w:line="360" w:lineRule="auto"/>
        <w:jc w:val="left"/>
        <w:rPr>
          <w:rFonts w:hint="eastAsia" w:ascii="宋体" w:hAnsi="宋体" w:eastAsia="宋体" w:cs="宋体"/>
          <w:b/>
          <w:kern w:val="0"/>
        </w:rPr>
      </w:pPr>
    </w:p>
    <w:p>
      <w:pPr>
        <w:widowControl/>
        <w:spacing w:line="360" w:lineRule="auto"/>
        <w:jc w:val="left"/>
        <w:rPr>
          <w:rFonts w:hint="eastAsia" w:ascii="宋体" w:hAnsi="宋体" w:eastAsia="宋体" w:cs="Times New Roman"/>
          <w:b/>
          <w:sz w:val="24"/>
          <w:szCs w:val="24"/>
          <w:lang w:val="en-US" w:eastAsia="zh-CN"/>
        </w:rPr>
      </w:pPr>
    </w:p>
    <w:p>
      <w:pPr>
        <w:widowControl/>
        <w:spacing w:line="360" w:lineRule="auto"/>
        <w:jc w:val="center"/>
        <w:outlineLvl w:val="0"/>
        <w:rPr>
          <w:rFonts w:hint="eastAsia" w:ascii="仿宋" w:hAnsi="仿宋" w:eastAsia="仿宋" w:cs="仿宋"/>
          <w:b/>
          <w:bCs/>
          <w:sz w:val="32"/>
          <w:szCs w:val="32"/>
          <w:lang w:val="en-US" w:eastAsia="zh-CN"/>
        </w:rPr>
      </w:pPr>
      <w:bookmarkStart w:id="0" w:name="_Toc10779"/>
      <w:r>
        <w:rPr>
          <w:rFonts w:hint="eastAsia" w:ascii="仿宋" w:hAnsi="仿宋" w:eastAsia="仿宋" w:cs="仿宋"/>
          <w:b/>
          <w:bCs/>
          <w:sz w:val="32"/>
          <w:szCs w:val="32"/>
          <w:lang w:val="en-US" w:eastAsia="zh-CN"/>
        </w:rPr>
        <w:t>河南省“十四五”人民胜利渠续建配套与现代化改造项目</w:t>
      </w:r>
      <w:bookmarkEnd w:id="0"/>
    </w:p>
    <w:p>
      <w:pPr>
        <w:widowControl/>
        <w:spacing w:line="360" w:lineRule="auto"/>
        <w:jc w:val="center"/>
        <w:outlineLvl w:val="0"/>
        <w:rPr>
          <w:rFonts w:hint="eastAsia" w:ascii="仿宋" w:hAnsi="仿宋" w:eastAsia="仿宋" w:cs="仿宋"/>
          <w:b/>
          <w:bCs/>
          <w:sz w:val="32"/>
          <w:szCs w:val="32"/>
          <w:lang w:val="en-US" w:eastAsia="zh-CN"/>
        </w:rPr>
      </w:pPr>
      <w:bookmarkStart w:id="1" w:name="_Toc29122"/>
      <w:r>
        <w:rPr>
          <w:rFonts w:hint="eastAsia" w:ascii="仿宋" w:hAnsi="仿宋" w:eastAsia="仿宋" w:cs="仿宋"/>
          <w:b/>
          <w:bCs/>
          <w:kern w:val="0"/>
          <w:sz w:val="32"/>
          <w:szCs w:val="32"/>
          <w:lang w:val="en-US" w:eastAsia="zh-CN" w:bidi="ar-SA"/>
        </w:rPr>
        <w:t>危险源辨识与风险评估报告</w:t>
      </w:r>
      <w:bookmarkEnd w:id="1"/>
      <w:bookmarkStart w:id="2" w:name="附件9（13）危险源辨识与风险评价报告"/>
      <w:bookmarkEnd w:id="2"/>
    </w:p>
    <w:p>
      <w:pPr>
        <w:widowControl/>
        <w:spacing w:line="360" w:lineRule="auto"/>
        <w:ind w:firstLine="964" w:firstLineChars="300"/>
        <w:jc w:val="left"/>
        <w:rPr>
          <w:rFonts w:hint="eastAsia" w:ascii="仿宋" w:hAnsi="仿宋" w:eastAsia="仿宋" w:cs="仿宋"/>
          <w:b/>
          <w:bCs w:val="0"/>
          <w:sz w:val="32"/>
          <w:szCs w:val="32"/>
          <w:lang w:val="en-US" w:eastAsia="zh-CN"/>
        </w:rPr>
      </w:pPr>
    </w:p>
    <w:p>
      <w:pPr>
        <w:widowControl/>
        <w:spacing w:line="360" w:lineRule="auto"/>
        <w:ind w:firstLine="964" w:firstLineChars="300"/>
        <w:jc w:val="left"/>
        <w:rPr>
          <w:rFonts w:hint="eastAsia" w:ascii="仿宋" w:hAnsi="仿宋" w:eastAsia="仿宋" w:cs="仿宋"/>
          <w:b/>
          <w:bCs w:val="0"/>
          <w:sz w:val="32"/>
          <w:szCs w:val="32"/>
          <w:lang w:val="en-US" w:eastAsia="zh-CN"/>
        </w:rPr>
      </w:pPr>
    </w:p>
    <w:p>
      <w:pPr>
        <w:widowControl/>
        <w:spacing w:line="360" w:lineRule="auto"/>
        <w:ind w:firstLine="964" w:firstLineChars="300"/>
        <w:jc w:val="left"/>
        <w:rPr>
          <w:rFonts w:hint="eastAsia" w:ascii="仿宋" w:hAnsi="仿宋" w:eastAsia="仿宋" w:cs="仿宋"/>
          <w:b/>
          <w:bCs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金龙水利工程（河南）有限公司</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outlineLvl w:val="9"/>
        <w:rPr>
          <w:rFonts w:ascii="Times New Roman" w:hAnsi="Times New Roman" w:eastAsia="宋体" w:cs="黑体"/>
          <w:sz w:val="24"/>
          <w:szCs w:val="22"/>
        </w:rPr>
      </w:pPr>
    </w:p>
    <w:p>
      <w:pPr>
        <w:keepNext/>
        <w:keepLines/>
        <w:widowControl w:val="0"/>
        <w:numPr>
          <w:ilvl w:val="0"/>
          <w:numId w:val="0"/>
        </w:numPr>
        <w:spacing w:before="156" w:beforeLines="50" w:after="156" w:afterLines="50" w:line="360" w:lineRule="auto"/>
        <w:ind w:left="575" w:firstLine="200" w:firstLineChars="0"/>
        <w:jc w:val="both"/>
        <w:outlineLvl w:val="9"/>
        <w:rPr>
          <w:rFonts w:ascii="Arial" w:hAnsi="Arial" w:eastAsia="宋体" w:cs="黑体"/>
          <w:b w:val="0"/>
          <w:bCs/>
          <w:kern w:val="2"/>
          <w:sz w:val="30"/>
          <w:szCs w:val="22"/>
          <w:lang w:val="en-US" w:eastAsia="zh-CN" w:bidi="ar-SA"/>
        </w:rPr>
      </w:pPr>
    </w:p>
    <w:p>
      <w:pPr>
        <w:pStyle w:val="2"/>
        <w:outlineLvl w:val="9"/>
        <w:rPr>
          <w:rFonts w:ascii="Arial" w:hAnsi="Arial" w:eastAsia="宋体" w:cs="黑体"/>
          <w:b w:val="0"/>
          <w:bCs/>
          <w:kern w:val="2"/>
          <w:sz w:val="30"/>
          <w:szCs w:val="22"/>
          <w:lang w:val="en-US" w:eastAsia="zh-CN" w:bidi="ar-SA"/>
        </w:rPr>
      </w:pPr>
    </w:p>
    <w:p>
      <w:pPr>
        <w:rPr>
          <w:rFonts w:ascii="Arial" w:hAnsi="Arial" w:eastAsia="宋体" w:cs="黑体"/>
          <w:b w:val="0"/>
          <w:bCs/>
          <w:kern w:val="2"/>
          <w:sz w:val="30"/>
          <w:szCs w:val="22"/>
          <w:lang w:val="en-US" w:eastAsia="zh-CN" w:bidi="ar-SA"/>
        </w:rPr>
      </w:pPr>
    </w:p>
    <w:p>
      <w:pPr>
        <w:pStyle w:val="2"/>
        <w:rPr>
          <w:rFonts w:ascii="Arial" w:hAnsi="Arial" w:eastAsia="宋体" w:cs="黑体"/>
          <w:b w:val="0"/>
          <w:bCs/>
          <w:kern w:val="2"/>
          <w:sz w:val="30"/>
          <w:szCs w:val="22"/>
          <w:lang w:val="en-US" w:eastAsia="zh-CN" w:bidi="ar-SA"/>
        </w:rPr>
      </w:pPr>
    </w:p>
    <w:p>
      <w:pPr>
        <w:rPr>
          <w:rFonts w:ascii="Arial" w:hAnsi="Arial" w:eastAsia="宋体" w:cs="黑体"/>
          <w:b w:val="0"/>
          <w:bCs/>
          <w:kern w:val="2"/>
          <w:sz w:val="30"/>
          <w:szCs w:val="22"/>
          <w:lang w:val="en-US" w:eastAsia="zh-CN" w:bidi="ar-SA"/>
        </w:rPr>
      </w:pPr>
    </w:p>
    <w:p>
      <w:pPr>
        <w:pStyle w:val="2"/>
        <w:rPr>
          <w:lang w:val="en-US" w:eastAsia="zh-CN"/>
        </w:rPr>
      </w:pPr>
    </w:p>
    <w:p>
      <w:pPr>
        <w:outlineLvl w:val="9"/>
        <w:rPr>
          <w:rFonts w:ascii="Arial" w:hAnsi="Arial" w:eastAsia="宋体" w:cs="黑体"/>
          <w:b w:val="0"/>
          <w:bCs/>
          <w:kern w:val="2"/>
          <w:sz w:val="30"/>
          <w:szCs w:val="22"/>
          <w:lang w:val="en-US" w:eastAsia="zh-CN" w:bidi="ar-SA"/>
        </w:rPr>
      </w:pPr>
      <w:bookmarkStart w:id="129" w:name="_GoBack"/>
      <w:bookmarkEnd w:id="129"/>
    </w:p>
    <w:sdt>
      <w:sdtPr>
        <w:rPr>
          <w:rFonts w:ascii="宋体" w:hAnsi="宋体" w:eastAsia="宋体" w:cs="Times New Roman"/>
          <w:color w:val="000000"/>
          <w:spacing w:val="0"/>
          <w:w w:val="100"/>
          <w:position w:val="0"/>
          <w:sz w:val="21"/>
          <w:szCs w:val="24"/>
          <w:shd w:val="clear" w:color="auto" w:fill="auto"/>
          <w:lang w:val="en-US" w:eastAsia="en-US" w:bidi="en-US"/>
        </w:rPr>
        <w:id w:val="147459028"/>
        <w15:color w:val="DBDBDB"/>
        <w:docPartObj>
          <w:docPartGallery w:val="Table of Contents"/>
          <w:docPartUnique/>
        </w:docPartObj>
      </w:sdtPr>
      <w:sdtEndP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0"/>
            <w:tabs>
              <w:tab w:val="right" w:leader="dot" w:pos="8306"/>
            </w:tabs>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TOC \o "1-1" \h \u </w:instrText>
          </w:r>
          <w:r>
            <w:rPr>
              <w:rFonts w:hint="eastAsia" w:asciiTheme="minorEastAsia" w:hAnsiTheme="minorEastAsia" w:eastAsiaTheme="minorEastAsia" w:cstheme="minorEastAsia"/>
              <w:sz w:val="24"/>
              <w:szCs w:val="24"/>
              <w:lang w:val="en-US" w:eastAsia="zh-CN"/>
            </w:rPr>
            <w:fldChar w:fldCharType="separate"/>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_Toc10037 </w:instrText>
          </w:r>
          <w:r>
            <w:rPr>
              <w:rFonts w:hint="eastAsia" w:asciiTheme="minorEastAsia" w:hAnsiTheme="minorEastAsia" w:eastAsiaTheme="minorEastAsia" w:cstheme="minorEastAsia"/>
              <w:szCs w:val="24"/>
              <w:lang w:val="en-US" w:eastAsia="zh-CN"/>
            </w:rPr>
            <w:fldChar w:fldCharType="separate"/>
          </w:r>
          <w:r>
            <w:rPr>
              <w:rFonts w:hint="eastAsia" w:asciiTheme="minorEastAsia" w:hAnsiTheme="minorEastAsia" w:eastAsiaTheme="minorEastAsia" w:cstheme="minorEastAsia"/>
              <w:szCs w:val="24"/>
              <w:lang w:val="en-US" w:eastAsia="zh-CN"/>
            </w:rPr>
            <w:t>河南省“十四五”人民胜利渠续建配套与现代化改造项目</w:t>
          </w:r>
          <w:r>
            <w:tab/>
          </w:r>
          <w:r>
            <w:fldChar w:fldCharType="begin"/>
          </w:r>
          <w:r>
            <w:instrText xml:space="preserve"> PAGEREF _Toc10037 \h </w:instrText>
          </w:r>
          <w:r>
            <w:fldChar w:fldCharType="separate"/>
          </w:r>
          <w:r>
            <w:t>1</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_Toc21785 </w:instrText>
          </w:r>
          <w:r>
            <w:rPr>
              <w:rFonts w:hint="eastAsia" w:asciiTheme="minorEastAsia" w:hAnsiTheme="minorEastAsia" w:eastAsiaTheme="minorEastAsia" w:cstheme="minorEastAsia"/>
              <w:szCs w:val="24"/>
              <w:lang w:val="en-US" w:eastAsia="zh-CN"/>
            </w:rPr>
            <w:fldChar w:fldCharType="separate"/>
          </w:r>
          <w:r>
            <w:rPr>
              <w:rFonts w:hint="eastAsia" w:ascii="宋体" w:hAnsi="宋体" w:eastAsia="宋体" w:cs="宋体"/>
              <w:bCs/>
              <w:spacing w:val="0"/>
              <w:w w:val="100"/>
              <w:position w:val="0"/>
              <w:szCs w:val="24"/>
            </w:rPr>
            <w:t>前言</w:t>
          </w:r>
          <w:r>
            <w:tab/>
          </w:r>
          <w:r>
            <w:fldChar w:fldCharType="begin"/>
          </w:r>
          <w:r>
            <w:instrText xml:space="preserve"> PAGEREF _Toc21785 \h </w:instrText>
          </w:r>
          <w:r>
            <w:fldChar w:fldCharType="separate"/>
          </w:r>
          <w:r>
            <w:t>4</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_Toc18020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一、</w:t>
          </w:r>
          <w:r>
            <w:rPr>
              <w:rFonts w:hint="eastAsia" w:asciiTheme="majorEastAsia" w:hAnsiTheme="majorEastAsia" w:eastAsiaTheme="majorEastAsia" w:cstheme="majorEastAsia"/>
              <w:szCs w:val="24"/>
            </w:rPr>
            <w:t>工程简介</w:t>
          </w:r>
          <w:r>
            <w:tab/>
          </w:r>
          <w:r>
            <w:fldChar w:fldCharType="begin"/>
          </w:r>
          <w:r>
            <w:instrText xml:space="preserve"> PAGEREF _Toc18020 \h </w:instrText>
          </w:r>
          <w:r>
            <w:fldChar w:fldCharType="separate"/>
          </w:r>
          <w:r>
            <w:t>5</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_Toc4238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二、</w:t>
          </w:r>
          <w:r>
            <w:rPr>
              <w:rFonts w:hint="eastAsia" w:asciiTheme="majorEastAsia" w:hAnsiTheme="majorEastAsia" w:eastAsiaTheme="majorEastAsia" w:cstheme="majorEastAsia"/>
              <w:szCs w:val="24"/>
            </w:rPr>
            <w:t>辩识与评价的主要依据</w:t>
          </w:r>
          <w:r>
            <w:tab/>
          </w:r>
          <w:r>
            <w:fldChar w:fldCharType="begin"/>
          </w:r>
          <w:r>
            <w:instrText xml:space="preserve"> PAGEREF _Toc4238 \h </w:instrText>
          </w:r>
          <w:r>
            <w:fldChar w:fldCharType="separate"/>
          </w:r>
          <w:r>
            <w:t>7</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_Toc27423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三、</w:t>
          </w:r>
          <w:r>
            <w:rPr>
              <w:rFonts w:hint="eastAsia" w:asciiTheme="majorEastAsia" w:hAnsiTheme="majorEastAsia" w:eastAsiaTheme="majorEastAsia" w:cstheme="majorEastAsia"/>
              <w:szCs w:val="24"/>
            </w:rPr>
            <w:t>辩识方法和标准</w:t>
          </w:r>
          <w:r>
            <w:tab/>
          </w:r>
          <w:r>
            <w:fldChar w:fldCharType="begin"/>
          </w:r>
          <w:r>
            <w:instrText xml:space="preserve"> PAGEREF _Toc27423 \h </w:instrText>
          </w:r>
          <w:r>
            <w:fldChar w:fldCharType="separate"/>
          </w:r>
          <w:r>
            <w:t>8</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_Toc13999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四、辨识与评价</w:t>
          </w:r>
          <w:r>
            <w:tab/>
          </w:r>
          <w:r>
            <w:fldChar w:fldCharType="begin"/>
          </w:r>
          <w:r>
            <w:instrText xml:space="preserve"> PAGEREF _Toc13999 \h </w:instrText>
          </w:r>
          <w:r>
            <w:fldChar w:fldCharType="separate"/>
          </w:r>
          <w:r>
            <w:t>11</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_Toc28390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五、安全管控措施</w:t>
          </w:r>
          <w:r>
            <w:tab/>
          </w:r>
          <w:r>
            <w:fldChar w:fldCharType="begin"/>
          </w:r>
          <w:r>
            <w:instrText xml:space="preserve"> PAGEREF _Toc28390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_Toc12160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一、工程技术</w:t>
          </w:r>
          <w:r>
            <w:rPr>
              <w:rFonts w:hint="eastAsia" w:asciiTheme="majorEastAsia" w:hAnsiTheme="majorEastAsia" w:eastAsiaTheme="majorEastAsia" w:cstheme="majorEastAsia"/>
              <w:spacing w:val="0"/>
              <w:w w:val="100"/>
              <w:kern w:val="2"/>
              <w:position w:val="0"/>
              <w:szCs w:val="24"/>
              <w:shd w:val="clear"/>
              <w:lang w:val="en-US" w:eastAsia="zh-CN" w:bidi="ar-SA"/>
            </w:rPr>
            <w:t>措施</w:t>
          </w:r>
          <w:r>
            <w:tab/>
          </w:r>
          <w:r>
            <w:fldChar w:fldCharType="begin"/>
          </w:r>
          <w:r>
            <w:instrText xml:space="preserve"> PAGEREF _Toc12160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_Toc17444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二、安全管理措施</w:t>
          </w:r>
          <w:r>
            <w:tab/>
          </w:r>
          <w:r>
            <w:fldChar w:fldCharType="begin"/>
          </w:r>
          <w:r>
            <w:instrText xml:space="preserve"> PAGEREF _Toc17444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_Toc3149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三、教育培训措施</w:t>
          </w:r>
          <w:r>
            <w:tab/>
          </w:r>
          <w:r>
            <w:fldChar w:fldCharType="begin"/>
          </w:r>
          <w:r>
            <w:instrText xml:space="preserve"> PAGEREF _Toc3149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_Toc17732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四、个体防护措施</w:t>
          </w:r>
          <w:r>
            <w:tab/>
          </w:r>
          <w:r>
            <w:fldChar w:fldCharType="begin"/>
          </w:r>
          <w:r>
            <w:instrText xml:space="preserve"> PAGEREF _Toc17732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_Toc15100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五、应急处置措施</w:t>
          </w:r>
          <w:r>
            <w:tab/>
          </w:r>
          <w:r>
            <w:fldChar w:fldCharType="begin"/>
          </w:r>
          <w:r>
            <w:instrText xml:space="preserve"> PAGEREF _Toc15100 \h </w:instrText>
          </w:r>
          <w:r>
            <w:fldChar w:fldCharType="separate"/>
          </w:r>
          <w:r>
            <w:t>26</w:t>
          </w:r>
          <w:r>
            <w:fldChar w:fldCharType="end"/>
          </w:r>
          <w:r>
            <w:rPr>
              <w:rFonts w:hint="eastAsia" w:asciiTheme="minorEastAsia" w:hAnsiTheme="minorEastAsia" w:eastAsiaTheme="minorEastAsia" w:cstheme="minorEastAsia"/>
              <w:szCs w:val="24"/>
              <w:lang w:val="en-US" w:eastAsia="zh-CN"/>
            </w:rPr>
            <w:fldChar w:fldCharType="end"/>
          </w:r>
        </w:p>
        <w:p>
          <w:pPr>
            <w:pStyle w:val="30"/>
            <w:tabs>
              <w:tab w:val="right" w:leader="dot" w:pos="8306"/>
            </w:tabs>
          </w:pPr>
          <w:r>
            <w:rPr>
              <w:rFonts w:hint="eastAsia" w:asciiTheme="minorEastAsia" w:hAnsiTheme="minorEastAsia" w:eastAsiaTheme="minorEastAsia" w:cstheme="minorEastAsia"/>
              <w:szCs w:val="24"/>
              <w:lang w:val="en-US" w:eastAsia="zh-CN"/>
            </w:rPr>
            <w:fldChar w:fldCharType="begin"/>
          </w:r>
          <w:r>
            <w:rPr>
              <w:rFonts w:hint="eastAsia" w:asciiTheme="minorEastAsia" w:hAnsiTheme="minorEastAsia" w:eastAsiaTheme="minorEastAsia" w:cstheme="minorEastAsia"/>
              <w:szCs w:val="24"/>
              <w:lang w:val="en-US" w:eastAsia="zh-CN"/>
            </w:rPr>
            <w:instrText xml:space="preserve"> HYPERLINK \l _Toc14633 </w:instrText>
          </w:r>
          <w:r>
            <w:rPr>
              <w:rFonts w:hint="eastAsia" w:asciiTheme="minorEastAsia" w:hAnsiTheme="minorEastAsia" w:eastAsiaTheme="minorEastAsia" w:cstheme="minorEastAsia"/>
              <w:szCs w:val="24"/>
              <w:lang w:val="en-US" w:eastAsia="zh-CN"/>
            </w:rPr>
            <w:fldChar w:fldCharType="separate"/>
          </w:r>
          <w:r>
            <w:rPr>
              <w:rFonts w:hint="eastAsia" w:asciiTheme="majorEastAsia" w:hAnsiTheme="majorEastAsia" w:eastAsiaTheme="majorEastAsia" w:cstheme="majorEastAsia"/>
              <w:szCs w:val="24"/>
              <w:lang w:val="en-US" w:eastAsia="zh-CN"/>
            </w:rPr>
            <w:t>六、应急预案</w:t>
          </w:r>
          <w:r>
            <w:tab/>
          </w:r>
          <w:r>
            <w:fldChar w:fldCharType="begin"/>
          </w:r>
          <w:r>
            <w:instrText xml:space="preserve"> PAGEREF _Toc14633 \h </w:instrText>
          </w:r>
          <w:r>
            <w:fldChar w:fldCharType="separate"/>
          </w:r>
          <w:r>
            <w:t>29</w:t>
          </w:r>
          <w:r>
            <w:fldChar w:fldCharType="end"/>
          </w:r>
          <w:r>
            <w:rPr>
              <w:rFonts w:hint="eastAsia" w:asciiTheme="minorEastAsia" w:hAnsiTheme="minorEastAsia" w:eastAsiaTheme="minorEastAsia" w:cstheme="minorEastAsia"/>
              <w:szCs w:val="24"/>
              <w:lang w:val="en-US" w:eastAsia="zh-CN"/>
            </w:rPr>
            <w:fldChar w:fldCharType="end"/>
          </w:r>
        </w:p>
        <w:p>
          <w:pPr>
            <w:jc w:val="center"/>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4"/>
              <w:lang w:val="en-US" w:eastAsia="zh-CN"/>
            </w:rPr>
            <w:fldChar w:fldCharType="end"/>
          </w:r>
        </w:p>
      </w:sdtContent>
    </w:sdt>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lang w:val="en-US" w:eastAsia="zh-CN"/>
        </w:rPr>
      </w:pPr>
    </w:p>
    <w:p>
      <w:pPr>
        <w:jc w:val="center"/>
        <w:outlineLvl w:val="9"/>
        <w:rPr>
          <w:rFonts w:hint="eastAsia" w:asciiTheme="minorEastAsia" w:hAnsiTheme="minorEastAsia" w:eastAsiaTheme="minorEastAsia" w:cstheme="minorEastAsia"/>
          <w:sz w:val="24"/>
          <w:szCs w:val="24"/>
          <w:lang w:val="en-US" w:eastAsia="zh-CN"/>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outlineLvl w:val="0"/>
        <w:rPr>
          <w:rFonts w:hint="eastAsia" w:asciiTheme="minorEastAsia" w:hAnsiTheme="minorEastAsia" w:eastAsiaTheme="minorEastAsia" w:cstheme="minorEastAsia"/>
          <w:sz w:val="24"/>
          <w:szCs w:val="24"/>
          <w:lang w:val="en-US" w:eastAsia="zh-CN"/>
        </w:rPr>
      </w:pPr>
      <w:bookmarkStart w:id="3" w:name="_Toc2617"/>
      <w:bookmarkStart w:id="4" w:name="_Toc10037"/>
      <w:r>
        <w:rPr>
          <w:rFonts w:hint="eastAsia" w:asciiTheme="minorEastAsia" w:hAnsiTheme="minorEastAsia" w:eastAsiaTheme="minorEastAsia" w:cstheme="minorEastAsia"/>
          <w:sz w:val="24"/>
          <w:szCs w:val="24"/>
          <w:lang w:val="en-US" w:eastAsia="zh-CN"/>
        </w:rPr>
        <w:t>河南省“十四五”人民胜利渠续建配套与现代化改造项目</w:t>
      </w:r>
      <w:bookmarkEnd w:id="3"/>
      <w:bookmarkEnd w:id="4"/>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color w:val="000000"/>
          <w:spacing w:val="0"/>
          <w:w w:val="100"/>
          <w:position w:val="0"/>
          <w:lang w:eastAsia="zh-CN"/>
        </w:rPr>
      </w:pPr>
      <w:r>
        <w:rPr>
          <w:rFonts w:hint="eastAsia"/>
          <w:color w:val="000000"/>
          <w:spacing w:val="0"/>
          <w:w w:val="100"/>
          <w:position w:val="0"/>
          <w:lang w:eastAsia="zh-CN"/>
        </w:rPr>
        <w:drawing>
          <wp:inline distT="0" distB="0" distL="114300" distR="114300">
            <wp:extent cx="5268595" cy="7450455"/>
            <wp:effectExtent l="0" t="0" r="8255" b="17145"/>
            <wp:docPr id="3" name="图片 3" descr="doc05163120230308101658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c05163120230308101658_010"/>
                    <pic:cNvPicPr>
                      <a:picLocks noChangeAspect="1"/>
                    </pic:cNvPicPr>
                  </pic:nvPicPr>
                  <pic:blipFill>
                    <a:blip r:embed="rId13"/>
                    <a:stretch>
                      <a:fillRect/>
                    </a:stretch>
                  </pic:blipFill>
                  <pic:spPr>
                    <a:xfrm>
                      <a:off x="0" y="0"/>
                      <a:ext cx="5268595" cy="7450455"/>
                    </a:xfrm>
                    <a:prstGeom prst="rect">
                      <a:avLst/>
                    </a:prstGeom>
                  </pic:spPr>
                </pic:pic>
              </a:graphicData>
            </a:graphic>
          </wp:inline>
        </w:drawing>
      </w:r>
      <w:r>
        <w:rPr>
          <w:rFonts w:hint="eastAsia"/>
          <w:color w:val="000000"/>
          <w:spacing w:val="0"/>
          <w:w w:val="100"/>
          <w:position w:val="0"/>
          <w:lang w:eastAsia="zh-CN"/>
        </w:rPr>
        <w:drawing>
          <wp:inline distT="0" distB="0" distL="114300" distR="114300">
            <wp:extent cx="5268595" cy="7450455"/>
            <wp:effectExtent l="0" t="0" r="8255" b="17145"/>
            <wp:docPr id="4" name="图片 4" descr="doc05163820230308155924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c05163820230308155924_002"/>
                    <pic:cNvPicPr>
                      <a:picLocks noChangeAspect="1"/>
                    </pic:cNvPicPr>
                  </pic:nvPicPr>
                  <pic:blipFill>
                    <a:blip r:embed="rId14"/>
                    <a:stretch>
                      <a:fillRect/>
                    </a:stretch>
                  </pic:blipFill>
                  <pic:spPr>
                    <a:xfrm>
                      <a:off x="0" y="0"/>
                      <a:ext cx="5268595" cy="7450455"/>
                    </a:xfrm>
                    <a:prstGeom prst="rect">
                      <a:avLst/>
                    </a:prstGeom>
                  </pic:spPr>
                </pic:pic>
              </a:graphicData>
            </a:graphic>
          </wp:inline>
        </w:drawing>
      </w:r>
      <w:r>
        <w:rPr>
          <w:rFonts w:hint="eastAsia"/>
          <w:color w:val="000000"/>
          <w:spacing w:val="0"/>
          <w:w w:val="100"/>
          <w:position w:val="0"/>
          <w:lang w:eastAsia="zh-CN"/>
        </w:rPr>
        <w:drawing>
          <wp:inline distT="0" distB="0" distL="114300" distR="114300">
            <wp:extent cx="5268595" cy="7450455"/>
            <wp:effectExtent l="0" t="0" r="8255" b="17145"/>
            <wp:docPr id="5" name="图片 5" descr="doc05163120230308101658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c05163120230308101658_012"/>
                    <pic:cNvPicPr>
                      <a:picLocks noChangeAspect="1"/>
                    </pic:cNvPicPr>
                  </pic:nvPicPr>
                  <pic:blipFill>
                    <a:blip r:embed="rId15"/>
                    <a:stretch>
                      <a:fillRect/>
                    </a:stretch>
                  </pic:blipFill>
                  <pic:spPr>
                    <a:xfrm>
                      <a:off x="0" y="0"/>
                      <a:ext cx="5268595" cy="7450455"/>
                    </a:xfrm>
                    <a:prstGeom prst="rect">
                      <a:avLst/>
                    </a:prstGeom>
                  </pic:spPr>
                </pic:pic>
              </a:graphicData>
            </a:graphic>
          </wp:inline>
        </w:drawing>
      </w:r>
    </w:p>
    <w:p>
      <w:pPr>
        <w:outlineLvl w:val="9"/>
        <w:rPr>
          <w:rFonts w:hint="eastAsia"/>
          <w:color w:val="000000"/>
          <w:spacing w:val="0"/>
          <w:w w:val="100"/>
          <w:position w:val="0"/>
          <w:lang w:eastAsia="zh-CN"/>
        </w:rPr>
      </w:pPr>
      <w:r>
        <w:rPr>
          <w:rFonts w:hint="eastAsia"/>
          <w:color w:val="000000"/>
          <w:spacing w:val="0"/>
          <w:w w:val="100"/>
          <w:position w:val="0"/>
          <w:lang w:eastAsia="zh-CN"/>
        </w:rPr>
        <w:br w:type="page"/>
      </w:r>
    </w:p>
    <w:p>
      <w:pPr>
        <w:pStyle w:val="18"/>
        <w:keepNext/>
        <w:keepLines/>
        <w:pageBreakBefore w:val="0"/>
        <w:widowControl w:val="0"/>
        <w:shd w:val="clear" w:color="auto" w:fill="auto"/>
        <w:kinsoku/>
        <w:overflowPunct/>
        <w:topLinePunct w:val="0"/>
        <w:bidi w:val="0"/>
        <w:spacing w:before="560" w:after="400" w:line="312" w:lineRule="auto"/>
        <w:ind w:left="0" w:leftChars="0" w:right="0" w:rightChars="0" w:firstLine="0" w:firstLineChars="0"/>
        <w:jc w:val="center"/>
        <w:outlineLvl w:val="0"/>
        <w:rPr>
          <w:rFonts w:hint="eastAsia" w:ascii="宋体" w:hAnsi="宋体" w:eastAsia="宋体" w:cs="宋体"/>
          <w:b/>
          <w:bCs/>
          <w:color w:val="auto"/>
          <w:sz w:val="24"/>
          <w:szCs w:val="24"/>
        </w:rPr>
      </w:pPr>
      <w:bookmarkStart w:id="5" w:name="bookmark13"/>
      <w:bookmarkStart w:id="6" w:name="bookmark14"/>
      <w:bookmarkStart w:id="7" w:name="bookmark15"/>
      <w:bookmarkStart w:id="8" w:name="_Toc21785"/>
      <w:r>
        <w:rPr>
          <w:rFonts w:hint="eastAsia" w:ascii="宋体" w:hAnsi="宋体" w:eastAsia="宋体" w:cs="宋体"/>
          <w:b/>
          <w:bCs/>
          <w:color w:val="auto"/>
          <w:spacing w:val="0"/>
          <w:w w:val="100"/>
          <w:position w:val="0"/>
          <w:sz w:val="24"/>
          <w:szCs w:val="24"/>
        </w:rPr>
        <w:t>前言</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beforeLines="100" w:line="312" w:lineRule="auto"/>
        <w:ind w:firstLine="480" w:firstLineChars="200"/>
        <w:jc w:val="left"/>
        <w:textAlignment w:val="auto"/>
        <w:rPr>
          <w:rFonts w:hint="eastAsia" w:ascii="宋体" w:hAnsi="宋体" w:eastAsia="宋体" w:cs="宋体"/>
          <w:b/>
          <w:bCs/>
          <w:color w:val="auto"/>
          <w:spacing w:val="0"/>
          <w:w w:val="100"/>
          <w:position w:val="0"/>
          <w:sz w:val="24"/>
          <w:szCs w:val="24"/>
        </w:rPr>
      </w:pPr>
      <w:r>
        <w:rPr>
          <w:rFonts w:hint="eastAsia" w:ascii="宋体" w:hAnsi="宋体" w:eastAsia="宋体" w:cs="宋体"/>
          <w:b w:val="0"/>
          <w:bCs w:val="0"/>
          <w:color w:val="auto"/>
          <w:spacing w:val="0"/>
          <w:w w:val="100"/>
          <w:position w:val="0"/>
          <w:sz w:val="24"/>
          <w:szCs w:val="24"/>
        </w:rPr>
        <w:t>为全面贯彻</w:t>
      </w:r>
      <w:r>
        <w:rPr>
          <w:rFonts w:hint="eastAsia" w:ascii="宋体" w:hAnsi="宋体" w:eastAsia="宋体" w:cs="宋体"/>
          <w:b w:val="0"/>
          <w:bCs w:val="0"/>
          <w:color w:val="auto"/>
          <w:spacing w:val="0"/>
          <w:w w:val="100"/>
          <w:position w:val="0"/>
          <w:sz w:val="24"/>
          <w:szCs w:val="24"/>
          <w:lang w:val="zh-CN" w:eastAsia="zh-CN" w:bidi="zh-CN"/>
        </w:rPr>
        <w:t>“安全</w:t>
      </w:r>
      <w:r>
        <w:rPr>
          <w:rFonts w:hint="eastAsia" w:ascii="宋体" w:hAnsi="宋体" w:eastAsia="宋体" w:cs="宋体"/>
          <w:b w:val="0"/>
          <w:bCs w:val="0"/>
          <w:color w:val="auto"/>
          <w:spacing w:val="0"/>
          <w:w w:val="100"/>
          <w:position w:val="0"/>
          <w:sz w:val="24"/>
          <w:szCs w:val="24"/>
        </w:rPr>
        <w:t>第一、预防为主、综合治理</w:t>
      </w:r>
      <w:r>
        <w:rPr>
          <w:rFonts w:hint="eastAsia" w:ascii="宋体" w:hAnsi="宋体" w:eastAsia="宋体" w:cs="宋体"/>
          <w:b w:val="0"/>
          <w:bCs w:val="0"/>
          <w:color w:val="auto"/>
          <w:spacing w:val="0"/>
          <w:w w:val="100"/>
          <w:position w:val="0"/>
          <w:sz w:val="24"/>
          <w:szCs w:val="24"/>
          <w:lang w:val="zh-CN" w:eastAsia="zh-CN" w:bidi="zh-CN"/>
        </w:rPr>
        <w:t>”的安</w:t>
      </w:r>
      <w:r>
        <w:rPr>
          <w:rFonts w:hint="eastAsia" w:ascii="宋体" w:hAnsi="宋体" w:eastAsia="宋体" w:cs="宋体"/>
          <w:b w:val="0"/>
          <w:bCs w:val="0"/>
          <w:color w:val="auto"/>
          <w:spacing w:val="0"/>
          <w:w w:val="100"/>
          <w:position w:val="0"/>
          <w:sz w:val="24"/>
          <w:szCs w:val="24"/>
        </w:rPr>
        <w:t>全生产方针，落实水利生产经营单位安全生产主体责任，强化安全基础管理，规范安全生产行为，根据《水利水电工程施工安全管理导则</w:t>
      </w:r>
      <w:r>
        <w:rPr>
          <w:rFonts w:hint="eastAsia" w:ascii="宋体" w:hAnsi="宋体" w:eastAsia="宋体" w:cs="宋体"/>
          <w:b w:val="0"/>
          <w:bCs w:val="0"/>
          <w:color w:val="auto"/>
          <w:spacing w:val="0"/>
          <w:w w:val="100"/>
          <w:position w:val="0"/>
          <w:sz w:val="24"/>
          <w:szCs w:val="24"/>
          <w:lang w:val="en-US" w:eastAsia="en-US" w:bidi="en-US"/>
        </w:rPr>
        <w:t>（SL721-2015）</w:t>
      </w:r>
      <w:r>
        <w:rPr>
          <w:rFonts w:hint="eastAsia" w:ascii="宋体" w:hAnsi="宋体" w:eastAsia="宋体" w:cs="宋体"/>
          <w:b w:val="0"/>
          <w:bCs w:val="0"/>
          <w:color w:val="auto"/>
          <w:spacing w:val="0"/>
          <w:w w:val="100"/>
          <w:position w:val="0"/>
          <w:sz w:val="24"/>
          <w:szCs w:val="24"/>
        </w:rPr>
        <w:t>、《水利部办公厅关于印发水利水电工程施工危险源辨识与风险评价导则（试行）的通知》（办监督函〔2018）1693号）的要求，我公司组织各部门、</w:t>
      </w:r>
      <w:r>
        <w:rPr>
          <w:rFonts w:hint="eastAsia" w:ascii="宋体" w:hAnsi="宋体" w:eastAsia="宋体" w:cs="宋体"/>
          <w:b w:val="0"/>
          <w:bCs w:val="0"/>
          <w:color w:val="auto"/>
          <w:sz w:val="24"/>
          <w:szCs w:val="24"/>
        </w:rPr>
        <w:t>河南省“十四五”人民胜利渠灌区续建配套与现代化改造项目2022年度工程施工III标</w:t>
      </w:r>
      <w:r>
        <w:rPr>
          <w:rFonts w:hint="eastAsia" w:ascii="宋体" w:hAnsi="宋体" w:eastAsia="宋体" w:cs="宋体"/>
          <w:b w:val="0"/>
          <w:bCs w:val="0"/>
          <w:color w:val="auto"/>
          <w:spacing w:val="0"/>
          <w:w w:val="100"/>
          <w:position w:val="0"/>
          <w:sz w:val="24"/>
          <w:szCs w:val="24"/>
        </w:rPr>
        <w:t>部相关人员开展了项目危险源辨识及风险等级评价工作，编制完成了《</w:t>
      </w:r>
      <w:r>
        <w:rPr>
          <w:rFonts w:hint="eastAsia" w:ascii="宋体" w:hAnsi="宋体" w:eastAsia="宋体" w:cs="宋体"/>
          <w:b w:val="0"/>
          <w:bCs w:val="0"/>
          <w:color w:val="auto"/>
          <w:sz w:val="24"/>
          <w:szCs w:val="24"/>
        </w:rPr>
        <w:t>河南省“十四五”人民胜利渠灌区续建配套与现代化改造项目2022年度工程施工III标</w:t>
      </w:r>
      <w:r>
        <w:rPr>
          <w:rFonts w:hint="eastAsia" w:ascii="宋体" w:hAnsi="宋体" w:eastAsia="宋体" w:cs="宋体"/>
          <w:b w:val="0"/>
          <w:bCs w:val="0"/>
          <w:color w:val="auto"/>
          <w:spacing w:val="0"/>
          <w:w w:val="100"/>
          <w:position w:val="0"/>
          <w:sz w:val="24"/>
          <w:szCs w:val="24"/>
          <w:lang w:eastAsia="zh-CN"/>
        </w:rPr>
        <w:t>项目</w:t>
      </w:r>
      <w:r>
        <w:rPr>
          <w:rFonts w:hint="eastAsia" w:ascii="宋体" w:hAnsi="宋体" w:eastAsia="宋体" w:cs="宋体"/>
          <w:b w:val="0"/>
          <w:bCs w:val="0"/>
          <w:color w:val="auto"/>
          <w:spacing w:val="0"/>
          <w:w w:val="100"/>
          <w:position w:val="0"/>
          <w:sz w:val="24"/>
          <w:szCs w:val="24"/>
        </w:rPr>
        <w:t>危险源辨识与风险评价报告》</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rPr>
        <w:t>并将成果及时报送项目法人和监理单位。</w:t>
      </w:r>
    </w:p>
    <w:p>
      <w:pPr>
        <w:pStyle w:val="15"/>
        <w:pageBreakBefore w:val="0"/>
        <w:kinsoku/>
        <w:overflowPunct/>
        <w:topLinePunct w:val="0"/>
        <w:spacing w:line="312" w:lineRule="auto"/>
        <w:rPr>
          <w:rFonts w:hint="eastAsia" w:ascii="宋体" w:hAnsi="宋体" w:eastAsia="宋体" w:cs="宋体"/>
          <w:b/>
          <w:bCs/>
          <w:color w:val="auto"/>
          <w:spacing w:val="0"/>
          <w:w w:val="100"/>
          <w:position w:val="0"/>
          <w:sz w:val="24"/>
          <w:szCs w:val="24"/>
        </w:rPr>
      </w:pPr>
    </w:p>
    <w:p>
      <w:pPr>
        <w:pageBreakBefore w:val="0"/>
        <w:kinsoku/>
        <w:overflowPunct/>
        <w:topLinePunct w:val="0"/>
        <w:spacing w:line="312" w:lineRule="auto"/>
        <w:rPr>
          <w:rFonts w:hint="eastAsia" w:ascii="宋体" w:hAnsi="宋体" w:eastAsia="宋体" w:cs="宋体"/>
          <w:b/>
          <w:bCs/>
          <w:color w:val="auto"/>
          <w:spacing w:val="0"/>
          <w:w w:val="100"/>
          <w:position w:val="0"/>
          <w:sz w:val="24"/>
          <w:szCs w:val="24"/>
        </w:rPr>
      </w:pPr>
    </w:p>
    <w:p>
      <w:pPr>
        <w:pStyle w:val="15"/>
        <w:pageBreakBefore w:val="0"/>
        <w:kinsoku/>
        <w:overflowPunct/>
        <w:topLinePunct w:val="0"/>
        <w:spacing w:line="312" w:lineRule="auto"/>
        <w:rPr>
          <w:rFonts w:hint="eastAsia" w:ascii="宋体" w:hAnsi="宋体" w:eastAsia="宋体" w:cs="宋体"/>
          <w:b/>
          <w:bCs/>
          <w:color w:val="auto"/>
          <w:spacing w:val="0"/>
          <w:w w:val="100"/>
          <w:position w:val="0"/>
          <w:sz w:val="24"/>
          <w:szCs w:val="24"/>
        </w:rPr>
      </w:pPr>
    </w:p>
    <w:p>
      <w:pPr>
        <w:pageBreakBefore w:val="0"/>
        <w:kinsoku/>
        <w:overflowPunct/>
        <w:topLinePunct w:val="0"/>
        <w:spacing w:line="312" w:lineRule="auto"/>
        <w:jc w:val="center"/>
        <w:rPr>
          <w:rFonts w:hint="eastAsia" w:ascii="宋体" w:hAnsi="宋体" w:eastAsia="宋体" w:cs="宋体"/>
          <w:b/>
          <w:bCs/>
          <w:color w:val="auto"/>
          <w:spacing w:val="0"/>
          <w:w w:val="100"/>
          <w:position w:val="0"/>
          <w:sz w:val="24"/>
          <w:szCs w:val="24"/>
          <w:lang w:eastAsia="zh-CN"/>
        </w:rPr>
      </w:pPr>
      <w:r>
        <w:rPr>
          <w:rFonts w:hint="eastAsia" w:ascii="宋体" w:hAnsi="宋体" w:eastAsia="宋体" w:cs="宋体"/>
          <w:b/>
          <w:bCs/>
          <w:color w:val="auto"/>
          <w:spacing w:val="0"/>
          <w:w w:val="100"/>
          <w:position w:val="0"/>
          <w:sz w:val="24"/>
          <w:szCs w:val="24"/>
          <w:lang w:eastAsia="zh-CN"/>
        </w:rPr>
        <w:t>金龙水利工程（河南）有限公司</w:t>
      </w:r>
    </w:p>
    <w:p>
      <w:pPr>
        <w:pageBreakBefore w:val="0"/>
        <w:kinsoku/>
        <w:overflowPunct/>
        <w:topLinePunct w:val="0"/>
        <w:spacing w:line="312" w:lineRule="auto"/>
        <w:rPr>
          <w:rFonts w:hint="eastAsia" w:ascii="宋体" w:hAnsi="宋体" w:eastAsia="宋体" w:cs="宋体"/>
          <w:b/>
          <w:bCs/>
          <w:color w:val="auto"/>
          <w:spacing w:val="0"/>
          <w:w w:val="100"/>
          <w:position w:val="0"/>
          <w:sz w:val="24"/>
          <w:szCs w:val="24"/>
          <w:lang w:eastAsia="zh-CN"/>
        </w:rPr>
      </w:pPr>
      <w:r>
        <w:rPr>
          <w:rFonts w:hint="eastAsia" w:ascii="宋体" w:hAnsi="宋体" w:eastAsia="宋体" w:cs="宋体"/>
          <w:b/>
          <w:bCs/>
          <w:color w:val="auto"/>
          <w:spacing w:val="0"/>
          <w:w w:val="100"/>
          <w:position w:val="0"/>
          <w:sz w:val="24"/>
          <w:szCs w:val="24"/>
          <w:lang w:eastAsia="zh-CN"/>
        </w:rPr>
        <w:br w:type="page"/>
      </w:r>
    </w:p>
    <w:p>
      <w:pPr>
        <w:pStyle w:val="19"/>
        <w:pageBreakBefore w:val="0"/>
        <w:numPr>
          <w:ilvl w:val="0"/>
          <w:numId w:val="0"/>
        </w:numPr>
        <w:kinsoku/>
        <w:overflowPunct/>
        <w:topLinePunct w:val="0"/>
        <w:spacing w:line="312" w:lineRule="auto"/>
        <w:ind w:left="480" w:leftChars="0" w:right="0" w:rightChars="0"/>
        <w:jc w:val="center"/>
        <w:outlineLvl w:val="0"/>
        <w:rPr>
          <w:rFonts w:hint="eastAsia" w:asciiTheme="majorEastAsia" w:hAnsiTheme="majorEastAsia" w:eastAsiaTheme="majorEastAsia" w:cstheme="majorEastAsia"/>
          <w:sz w:val="24"/>
          <w:szCs w:val="24"/>
        </w:rPr>
      </w:pPr>
      <w:bookmarkStart w:id="9" w:name="_Toc26873"/>
      <w:bookmarkStart w:id="10" w:name="_Toc13542"/>
      <w:bookmarkStart w:id="11" w:name="_Toc18020"/>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rPr>
        <w:t>工程简介</w:t>
      </w:r>
      <w:bookmarkEnd w:id="9"/>
      <w:bookmarkEnd w:id="10"/>
      <w:bookmarkEnd w:id="11"/>
    </w:p>
    <w:p>
      <w:pPr>
        <w:keepNext w:val="0"/>
        <w:keepLines w:val="0"/>
        <w:pageBreakBefore w:val="0"/>
        <w:widowControl w:val="0"/>
        <w:numPr>
          <w:ilvl w:val="1"/>
          <w:numId w:val="1"/>
        </w:numPr>
        <w:kinsoku/>
        <w:wordWrap/>
        <w:overflowPunct/>
        <w:topLinePunct w:val="0"/>
        <w:autoSpaceDE w:val="0"/>
        <w:autoSpaceDN w:val="0"/>
        <w:bidi w:val="0"/>
        <w:adjustRightInd/>
        <w:snapToGrid/>
        <w:spacing w:before="0" w:line="312" w:lineRule="auto"/>
        <w:ind w:left="60" w:leftChars="0" w:right="0" w:firstLine="420" w:firstLineChars="0"/>
        <w:jc w:val="both"/>
        <w:textAlignment w:val="auto"/>
        <w:outlineLvl w:val="2"/>
        <w:rPr>
          <w:rFonts w:hint="eastAsia" w:asciiTheme="majorEastAsia" w:hAnsiTheme="majorEastAsia" w:eastAsiaTheme="majorEastAsia" w:cstheme="majorEastAsia"/>
          <w:sz w:val="24"/>
          <w:szCs w:val="24"/>
          <w:lang w:val="en-US" w:eastAsia="zh-CN" w:bidi="zh-CN"/>
        </w:rPr>
      </w:pPr>
      <w:bookmarkStart w:id="12" w:name="_Toc22448"/>
      <w:bookmarkStart w:id="13" w:name="_Toc19269"/>
      <w:r>
        <w:rPr>
          <w:rFonts w:hint="eastAsia" w:asciiTheme="majorEastAsia" w:hAnsiTheme="majorEastAsia" w:eastAsiaTheme="majorEastAsia" w:cstheme="majorEastAsia"/>
          <w:sz w:val="24"/>
          <w:szCs w:val="24"/>
          <w:lang w:val="en-US" w:eastAsia="zh-CN" w:bidi="zh-CN"/>
        </w:rPr>
        <w:t>工程概况</w:t>
      </w:r>
      <w:bookmarkEnd w:id="12"/>
      <w:bookmarkEnd w:id="13"/>
    </w:p>
    <w:p>
      <w:pPr>
        <w:keepNext w:val="0"/>
        <w:keepLines w:val="0"/>
        <w:pageBreakBefore w:val="0"/>
        <w:widowControl w:val="0"/>
        <w:shd w:val="clear"/>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14" w:name="_Toc11817"/>
      <w:bookmarkStart w:id="15" w:name="_Toc30564"/>
      <w:r>
        <w:rPr>
          <w:rFonts w:hint="eastAsia" w:asciiTheme="majorEastAsia" w:hAnsiTheme="majorEastAsia" w:eastAsiaTheme="majorEastAsia" w:cstheme="majorEastAsia"/>
          <w:spacing w:val="0"/>
          <w:w w:val="100"/>
          <w:kern w:val="2"/>
          <w:position w:val="0"/>
          <w:sz w:val="24"/>
          <w:szCs w:val="24"/>
          <w:shd w:val="clear"/>
          <w:lang w:val="en-US" w:eastAsia="zh-CN" w:bidi="ar-SA"/>
        </w:rPr>
        <w:t>人民胜利渠灌区位于河南省黄河北岸，东经113°31′-114°25′，北纬35°0′-35°30′。北以卫河、南长虹渠为界；南至原阳的师寨、新乡的郎公庙、延津的榆林、滑县的齐庄一线；西以武嘉灌区和共产主义渠为界；东以大功总干渠为邻。涉及新乡市的新乡县、红旗区、卫滨区、牧野区、原阳、获嘉、延津、卫辉、焦作市的武陟、安阳市的滑县等共七县三区。灌区设计灌溉面积148.84万亩，“十四五”续建配套与现代化改造实施方案确定的规划灌溉面积85万亩。</w:t>
      </w:r>
      <w:bookmarkEnd w:id="14"/>
      <w:bookmarkEnd w:id="15"/>
    </w:p>
    <w:p>
      <w:pPr>
        <w:keepNext w:val="0"/>
        <w:keepLines w:val="0"/>
        <w:pageBreakBefore w:val="0"/>
        <w:widowControl w:val="0"/>
        <w:shd w:val="clear"/>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河南省“十四五”人民胜利渠灌区续建配套与现代化改造项目2022年度工程建设具体建设内容为：南分干干支渠渠道衬砌11.58km；改造各类建筑物46座。</w:t>
      </w:r>
    </w:p>
    <w:p>
      <w:pPr>
        <w:keepNext w:val="0"/>
        <w:keepLines w:val="0"/>
        <w:pageBreakBefore w:val="0"/>
        <w:widowControl w:val="0"/>
        <w:shd w:val="clear"/>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渠道工程区、建筑物工程区的植被恢复和建设工程级别为3级，应根据生态防护和环境保护要求，按生态公益林绿化标准执行。</w:t>
      </w:r>
    </w:p>
    <w:p>
      <w:pPr>
        <w:keepNext w:val="0"/>
        <w:keepLines w:val="0"/>
        <w:pageBreakBefore w:val="0"/>
        <w:widowControl w:val="0"/>
        <w:shd w:val="clear"/>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临时挡、排水措施规模较小，按构造要求设计，满足临时排水需要。</w:t>
      </w:r>
    </w:p>
    <w:p>
      <w:pPr>
        <w:pStyle w:val="3"/>
        <w:pageBreakBefore w:val="0"/>
        <w:kinsoku/>
        <w:overflowPunct/>
        <w:topLinePunct w:val="0"/>
        <w:spacing w:line="312" w:lineRule="auto"/>
        <w:outlineLvl w:val="2"/>
        <w:rPr>
          <w:rFonts w:hint="eastAsia" w:asciiTheme="majorEastAsia" w:hAnsiTheme="majorEastAsia" w:eastAsiaTheme="majorEastAsia" w:cstheme="majorEastAsia"/>
          <w:b w:val="0"/>
          <w:bCs w:val="0"/>
          <w:sz w:val="24"/>
          <w:szCs w:val="24"/>
          <w:lang w:val="en-US" w:eastAsia="zh-CN" w:bidi="zh-CN"/>
        </w:rPr>
      </w:pPr>
      <w:bookmarkStart w:id="16" w:name="_Toc26835"/>
      <w:bookmarkStart w:id="17" w:name="_Toc17489"/>
      <w:r>
        <w:rPr>
          <w:rFonts w:hint="eastAsia" w:asciiTheme="majorEastAsia" w:hAnsiTheme="majorEastAsia" w:eastAsiaTheme="majorEastAsia" w:cstheme="majorEastAsia"/>
          <w:b w:val="0"/>
          <w:bCs w:val="0"/>
          <w:sz w:val="24"/>
          <w:szCs w:val="24"/>
          <w:lang w:val="en-US" w:eastAsia="zh-CN" w:bidi="zh-CN"/>
        </w:rPr>
        <w:t>1.2参建单位</w:t>
      </w:r>
      <w:bookmarkEnd w:id="16"/>
      <w:bookmarkEnd w:id="17"/>
    </w:p>
    <w:p>
      <w:pPr>
        <w:pStyle w:val="3"/>
        <w:pageBreakBefore w:val="0"/>
        <w:kinsoku/>
        <w:overflowPunct/>
        <w:topLinePunct w:val="0"/>
        <w:spacing w:line="312" w:lineRule="auto"/>
        <w:jc w:val="both"/>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b w:val="0"/>
          <w:bCs w:val="0"/>
          <w:sz w:val="24"/>
          <w:szCs w:val="24"/>
          <w:lang w:val="en-US" w:eastAsia="zh-CN" w:bidi="zh-CN"/>
        </w:rPr>
        <w:t>施工单位：金龙水利工程（河南）有限公司</w:t>
      </w:r>
    </w:p>
    <w:p>
      <w:pPr>
        <w:pageBreakBefore w:val="0"/>
        <w:kinsoku/>
        <w:overflowPunct/>
        <w:topLinePunct w:val="0"/>
        <w:adjustRightInd w:val="0"/>
        <w:snapToGrid w:val="0"/>
        <w:spacing w:line="312" w:lineRule="auto"/>
        <w:ind w:right="-120" w:rightChars="-50" w:firstLine="480"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bidi="zh-CN"/>
        </w:rPr>
        <w:t>监理单位：</w:t>
      </w:r>
      <w:r>
        <w:rPr>
          <w:rFonts w:hint="eastAsia" w:asciiTheme="majorEastAsia" w:hAnsiTheme="majorEastAsia" w:eastAsiaTheme="majorEastAsia" w:cstheme="majorEastAsia"/>
          <w:sz w:val="24"/>
          <w:szCs w:val="24"/>
        </w:rPr>
        <w:t>中建山河建设管理集团有限公司</w:t>
      </w:r>
    </w:p>
    <w:p>
      <w:pPr>
        <w:pageBreakBefore w:val="0"/>
        <w:kinsoku/>
        <w:overflowPunct/>
        <w:topLinePunct w:val="0"/>
        <w:adjustRightInd w:val="0"/>
        <w:snapToGrid w:val="0"/>
        <w:spacing w:line="312" w:lineRule="auto"/>
        <w:ind w:right="-120" w:rightChars="-50" w:firstLine="480" w:firstLineChars="20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建设单位：河南省人民胜利渠灌区续建配套与现代化改造工程建设管理局</w:t>
      </w:r>
    </w:p>
    <w:p>
      <w:pPr>
        <w:pStyle w:val="3"/>
        <w:pageBreakBefore w:val="0"/>
        <w:kinsoku/>
        <w:overflowPunct/>
        <w:topLinePunct w:val="0"/>
        <w:spacing w:line="312" w:lineRule="auto"/>
        <w:jc w:val="both"/>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sz w:val="24"/>
          <w:szCs w:val="24"/>
          <w:lang w:eastAsia="zh-CN"/>
        </w:rPr>
        <w:t>设计单位：河南省水利探测设计研究有限公司</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outlineLvl w:val="2"/>
        <w:rPr>
          <w:rFonts w:hint="eastAsia" w:asciiTheme="majorEastAsia" w:hAnsiTheme="majorEastAsia" w:eastAsiaTheme="majorEastAsia" w:cstheme="majorEastAsia"/>
          <w:b w:val="0"/>
          <w:bCs w:val="0"/>
          <w:sz w:val="24"/>
          <w:szCs w:val="24"/>
          <w:lang w:val="en-US" w:eastAsia="zh-CN" w:bidi="zh-CN"/>
        </w:rPr>
      </w:pPr>
      <w:bookmarkStart w:id="18" w:name="_Toc5745"/>
      <w:bookmarkStart w:id="19" w:name="_Toc17868"/>
      <w:bookmarkStart w:id="20" w:name="_Toc28877"/>
      <w:bookmarkStart w:id="21" w:name="_Toc25368"/>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kern w:val="0"/>
          <w:sz w:val="24"/>
          <w:szCs w:val="24"/>
          <w:lang w:val="en-US" w:eastAsia="zh-CN" w:bidi="ar"/>
        </w:rPr>
        <w:t>.</w:t>
      </w:r>
      <w:bookmarkEnd w:id="18"/>
      <w:bookmarkEnd w:id="19"/>
      <w:r>
        <w:rPr>
          <w:rFonts w:hint="eastAsia" w:asciiTheme="majorEastAsia" w:hAnsiTheme="majorEastAsia" w:eastAsiaTheme="majorEastAsia" w:cstheme="majorEastAsia"/>
          <w:kern w:val="0"/>
          <w:sz w:val="24"/>
          <w:szCs w:val="24"/>
          <w:lang w:val="en-US" w:eastAsia="zh-CN" w:bidi="ar"/>
        </w:rPr>
        <w:t>3工程工期及建设内容</w:t>
      </w:r>
      <w:bookmarkEnd w:id="20"/>
      <w:bookmarkEnd w:id="21"/>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outlineLvl w:val="9"/>
        <w:rPr>
          <w:rFonts w:hint="eastAsia" w:asciiTheme="majorEastAsia" w:hAnsiTheme="majorEastAsia" w:eastAsiaTheme="majorEastAsia" w:cstheme="majorEastAsia"/>
          <w:color w:val="000000"/>
          <w:kern w:val="0"/>
          <w:sz w:val="24"/>
          <w:szCs w:val="24"/>
          <w:lang w:val="en-US" w:eastAsia="zh-CN" w:bidi="ar"/>
        </w:rPr>
      </w:pPr>
      <w:bookmarkStart w:id="22" w:name="_Toc23598"/>
      <w:bookmarkStart w:id="23" w:name="_Toc26036"/>
      <w:bookmarkStart w:id="24" w:name="_Toc2390"/>
      <w:bookmarkStart w:id="25" w:name="_Toc24047"/>
      <w:r>
        <w:rPr>
          <w:rFonts w:hint="eastAsia" w:asciiTheme="majorEastAsia" w:hAnsiTheme="majorEastAsia" w:eastAsiaTheme="majorEastAsia" w:cstheme="majorEastAsia"/>
          <w:color w:val="000000"/>
          <w:kern w:val="0"/>
          <w:sz w:val="24"/>
          <w:szCs w:val="24"/>
          <w:lang w:val="en-US" w:eastAsia="zh-CN" w:bidi="ar"/>
        </w:rPr>
        <w:t>2022年11月10日开工，工期180天，工程造价：5449760.15元。主要工程内容：</w:t>
      </w:r>
      <w:r>
        <w:rPr>
          <w:rFonts w:hint="eastAsia" w:asciiTheme="majorEastAsia" w:hAnsiTheme="majorEastAsia" w:eastAsiaTheme="majorEastAsia" w:cstheme="majorEastAsia"/>
          <w:sz w:val="24"/>
          <w:szCs w:val="24"/>
          <w:lang w:val="en-US" w:eastAsia="zh-CN" w:bidi="zh-CN"/>
        </w:rPr>
        <w:t>南分干干支渠渠道衬砌11.58km；改造各类建筑物46座</w:t>
      </w:r>
      <w:bookmarkEnd w:id="22"/>
      <w:bookmarkEnd w:id="23"/>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outlineLvl w:val="2"/>
        <w:rPr>
          <w:rFonts w:hint="eastAsia" w:asciiTheme="majorEastAsia" w:hAnsiTheme="majorEastAsia" w:eastAsiaTheme="majorEastAsia" w:cstheme="majorEastAsia"/>
          <w:sz w:val="24"/>
          <w:szCs w:val="24"/>
          <w:lang w:val="en-US" w:eastAsia="zh-CN" w:bidi="zh-CN"/>
        </w:rPr>
      </w:pPr>
      <w:bookmarkStart w:id="26" w:name="_Toc20091"/>
      <w:bookmarkStart w:id="27" w:name="_Toc23729"/>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kern w:val="0"/>
          <w:sz w:val="24"/>
          <w:szCs w:val="24"/>
          <w:lang w:val="en-US" w:eastAsia="zh-CN" w:bidi="ar"/>
        </w:rPr>
        <w:t>.4</w:t>
      </w:r>
      <w:bookmarkEnd w:id="24"/>
      <w:bookmarkEnd w:id="25"/>
      <w:r>
        <w:rPr>
          <w:rFonts w:hint="eastAsia" w:asciiTheme="majorEastAsia" w:hAnsiTheme="majorEastAsia" w:eastAsiaTheme="majorEastAsia" w:cstheme="majorEastAsia"/>
          <w:sz w:val="24"/>
          <w:szCs w:val="24"/>
          <w:lang w:val="en-US" w:eastAsia="zh-CN" w:bidi="zh-CN"/>
        </w:rPr>
        <w:t>工程地质</w:t>
      </w:r>
      <w:bookmarkEnd w:id="26"/>
      <w:bookmarkEnd w:id="27"/>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720" w:firstLineChars="300"/>
        <w:jc w:val="both"/>
        <w:textAlignment w:val="auto"/>
        <w:outlineLvl w:val="9"/>
        <w:rPr>
          <w:rFonts w:hint="eastAsia" w:asciiTheme="majorEastAsia" w:hAnsiTheme="majorEastAsia" w:eastAsiaTheme="majorEastAsia" w:cstheme="majorEastAsia"/>
          <w:sz w:val="24"/>
          <w:szCs w:val="24"/>
          <w:lang w:val="en-US" w:eastAsia="zh-CN" w:bidi="zh-CN"/>
        </w:rPr>
      </w:pPr>
      <w:bookmarkStart w:id="28" w:name="_Toc1394"/>
      <w:r>
        <w:rPr>
          <w:rFonts w:hint="eastAsia" w:asciiTheme="majorEastAsia" w:hAnsiTheme="majorEastAsia" w:eastAsiaTheme="majorEastAsia" w:cstheme="majorEastAsia"/>
          <w:sz w:val="24"/>
          <w:szCs w:val="24"/>
          <w:lang w:val="en-US" w:eastAsia="zh-CN" w:bidi="zh-CN"/>
        </w:rPr>
        <w:t>1.地形地貌</w:t>
      </w:r>
      <w:bookmarkEnd w:id="28"/>
    </w:p>
    <w:p>
      <w:pPr>
        <w:keepNext w:val="0"/>
        <w:keepLines w:val="0"/>
        <w:pageBreakBefore w:val="0"/>
        <w:widowControl w:val="0"/>
        <w:kinsoku/>
        <w:wordWrap/>
        <w:overflowPunct/>
        <w:topLinePunct w:val="0"/>
        <w:autoSpaceDE w:val="0"/>
        <w:autoSpaceDN w:val="0"/>
        <w:bidi w:val="0"/>
        <w:adjustRightInd/>
        <w:snapToGrid/>
        <w:spacing w:before="0" w:line="312" w:lineRule="auto"/>
        <w:ind w:right="0" w:firstLine="480" w:firstLineChars="200"/>
        <w:jc w:val="both"/>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bidi="zh-CN"/>
        </w:rPr>
        <w:t>人民胜利渠灌区除现黄河滩内的提灌区外的绝大部分灌溉面积位于黄河下游北岸冲积扇（平原）的西南端，是由黄河多次决口、改道，泥沙淤积而成的，地形以平原为主，黄河故道内零星沙丘、坑塘与背河洼地的小片沼泽地点缀其间。地面高程海拔65m～95m，坡降一般在1/4000到1/6000之间，总体上呈现由西南向东北倾斜的态势，与古黄河的流向一致，非常适合发展自流灌溉。全灌区按地貌可分为六个单元：黄河滩区、现黄河背河洼地、古黄河河槽、古黄河滩区、古黄河背河洼地、太行山前交接洼地。</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720" w:firstLineChars="300"/>
        <w:jc w:val="both"/>
        <w:textAlignment w:val="auto"/>
        <w:outlineLvl w:val="9"/>
        <w:rPr>
          <w:rFonts w:hint="eastAsia" w:asciiTheme="majorEastAsia" w:hAnsiTheme="majorEastAsia" w:eastAsiaTheme="majorEastAsia" w:cstheme="majorEastAsia"/>
          <w:b w:val="0"/>
          <w:bCs w:val="0"/>
          <w:sz w:val="24"/>
          <w:szCs w:val="24"/>
          <w:lang w:val="en-US" w:eastAsia="zh-CN" w:bidi="zh-CN"/>
        </w:rPr>
      </w:pPr>
      <w:bookmarkStart w:id="29" w:name="_Toc1765"/>
      <w:bookmarkStart w:id="30" w:name="_Toc5143"/>
      <w:bookmarkStart w:id="31" w:name="_Toc30055"/>
      <w:r>
        <w:rPr>
          <w:rFonts w:hint="eastAsia" w:asciiTheme="majorEastAsia" w:hAnsiTheme="majorEastAsia" w:eastAsiaTheme="majorEastAsia" w:cstheme="majorEastAsia"/>
          <w:kern w:val="0"/>
          <w:sz w:val="24"/>
          <w:szCs w:val="24"/>
          <w:lang w:val="en-US" w:eastAsia="zh-CN" w:bidi="ar"/>
        </w:rPr>
        <w:t>2.</w:t>
      </w:r>
      <w:r>
        <w:rPr>
          <w:rFonts w:hint="eastAsia" w:asciiTheme="majorEastAsia" w:hAnsiTheme="majorEastAsia" w:eastAsiaTheme="majorEastAsia" w:cstheme="majorEastAsia"/>
          <w:b w:val="0"/>
          <w:bCs w:val="0"/>
          <w:sz w:val="24"/>
          <w:szCs w:val="24"/>
          <w:lang w:val="en-US" w:eastAsia="zh-CN" w:bidi="zh-CN"/>
        </w:rPr>
        <w:t>地质概况</w:t>
      </w:r>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bidi="zh-CN"/>
        </w:rPr>
        <w:t>工程场区地处黄河流域，全境为平原，无山地，北部有大量连绵起伏的沙地。新乡市地处黄（卫）河冲积扇的中上部，地势的总特点是西高东低。西南端黄河大堤南的地表高程可达93.0m以上，东北部的地面高程仅有65.0m左右。</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bidi="zh-CN"/>
        </w:rPr>
        <w:t>工程场区主要位于山前冲洪积倾斜平原与黄河冲积平原的过渡地带，地形平坦、开阔。整体地势西南高东北低，地面高程一般83.27~64.46m，地势较平缓。</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bidi="zh-CN"/>
        </w:rPr>
        <w:t>工程场区在区域大地构造分区图上位于华北准地台(Ⅰ)黄淮海拗陷(Ⅰ2)的中部。在区域新构造分区图上属华北断陷—隆起区（Ⅱ）的河北断陷（Ⅱ5）和豫皖隆起-坳陷区（Ⅲ）的交界部位附近。</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bidi="zh-CN"/>
        </w:rPr>
        <w:t>根据《中国地震动参数区划图》（GB18306-2015）工程区地震动峰值加速度为0.20g，地震动反应谱特征周期为0.40s，相应地震基本烈度为Ⅷ度。</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outlineLvl w:val="2"/>
        <w:rPr>
          <w:rFonts w:hint="eastAsia" w:asciiTheme="majorEastAsia" w:hAnsiTheme="majorEastAsia" w:eastAsiaTheme="majorEastAsia" w:cstheme="majorEastAsia"/>
          <w:b w:val="0"/>
          <w:bCs w:val="0"/>
          <w:sz w:val="24"/>
          <w:szCs w:val="24"/>
          <w:lang w:val="en-US" w:eastAsia="zh-CN" w:bidi="zh-CN"/>
        </w:rPr>
      </w:pPr>
      <w:bookmarkStart w:id="32" w:name="_Toc27490"/>
      <w:bookmarkStart w:id="33" w:name="_Toc4000"/>
      <w:bookmarkStart w:id="34" w:name="_Toc8800"/>
      <w:bookmarkStart w:id="35" w:name="_Toc27563"/>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kern w:val="0"/>
          <w:sz w:val="24"/>
          <w:szCs w:val="24"/>
          <w:lang w:val="en-US" w:eastAsia="zh-CN" w:bidi="ar"/>
        </w:rPr>
        <w:t>.5</w:t>
      </w:r>
      <w:r>
        <w:rPr>
          <w:rFonts w:hint="eastAsia" w:asciiTheme="majorEastAsia" w:hAnsiTheme="majorEastAsia" w:eastAsiaTheme="majorEastAsia" w:cstheme="majorEastAsia"/>
          <w:b w:val="0"/>
          <w:bCs w:val="0"/>
          <w:sz w:val="24"/>
          <w:szCs w:val="24"/>
          <w:lang w:val="en-US" w:eastAsia="zh-CN" w:bidi="zh-CN"/>
        </w:rPr>
        <w:t>本工程项目及其工作内容</w:t>
      </w:r>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b w:val="0"/>
          <w:bCs w:val="0"/>
          <w:sz w:val="24"/>
          <w:szCs w:val="24"/>
          <w:lang w:val="en-US" w:eastAsia="zh-CN" w:bidi="zh-CN"/>
        </w:rPr>
        <w:t>本合同承包人承担的主体工程项目及其工作内容施工Ⅲ标（合同编号：RMSLQGQXJ[2022]-SG-03）建设内容：重建南分干七支渠进水闸1座；重建南分干魏邱枢纽节制闸1座；重建南分干桥梁9座。</w:t>
      </w:r>
    </w:p>
    <w:p>
      <w:pPr>
        <w:pageBreakBefore w:val="0"/>
        <w:kinsoku/>
        <w:overflowPunct/>
        <w:topLinePunct w:val="0"/>
        <w:spacing w:line="312" w:lineRule="auto"/>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b w:val="0"/>
          <w:bCs w:val="0"/>
          <w:sz w:val="24"/>
          <w:szCs w:val="24"/>
          <w:lang w:val="en-US" w:eastAsia="zh-CN" w:bidi="zh-CN"/>
        </w:rPr>
        <w:br w:type="page"/>
      </w:r>
    </w:p>
    <w:p>
      <w:pPr>
        <w:pStyle w:val="19"/>
        <w:pageBreakBefore w:val="0"/>
        <w:numPr>
          <w:ilvl w:val="0"/>
          <w:numId w:val="0"/>
        </w:numPr>
        <w:kinsoku/>
        <w:overflowPunct/>
        <w:topLinePunct w:val="0"/>
        <w:spacing w:line="312" w:lineRule="auto"/>
        <w:ind w:left="480" w:leftChars="0" w:right="0" w:rightChars="0"/>
        <w:jc w:val="center"/>
        <w:outlineLvl w:val="0"/>
        <w:rPr>
          <w:rFonts w:hint="eastAsia" w:asciiTheme="majorEastAsia" w:hAnsiTheme="majorEastAsia" w:eastAsiaTheme="majorEastAsia" w:cstheme="majorEastAsia"/>
          <w:sz w:val="24"/>
          <w:szCs w:val="24"/>
        </w:rPr>
      </w:pPr>
      <w:bookmarkStart w:id="36" w:name="_Toc14034"/>
      <w:bookmarkStart w:id="37" w:name="_Toc26420"/>
      <w:bookmarkStart w:id="38" w:name="_Toc26725"/>
      <w:bookmarkStart w:id="39" w:name="_Toc4238"/>
      <w:r>
        <w:rPr>
          <w:rFonts w:hint="eastAsia" w:asciiTheme="majorEastAsia" w:hAnsiTheme="majorEastAsia" w:eastAsiaTheme="majorEastAsia" w:cstheme="majorEastAsia"/>
          <w:sz w:val="24"/>
          <w:szCs w:val="24"/>
          <w:lang w:val="en-US" w:eastAsia="zh-CN"/>
        </w:rPr>
        <w:t>二、</w:t>
      </w:r>
      <w:r>
        <w:rPr>
          <w:rFonts w:hint="eastAsia" w:asciiTheme="majorEastAsia" w:hAnsiTheme="majorEastAsia" w:eastAsiaTheme="majorEastAsia" w:cstheme="majorEastAsia"/>
          <w:sz w:val="24"/>
          <w:szCs w:val="24"/>
        </w:rPr>
        <w:t>辩识与评价的主要依据</w:t>
      </w:r>
      <w:bookmarkEnd w:id="36"/>
      <w:bookmarkEnd w:id="37"/>
      <w:bookmarkEnd w:id="38"/>
      <w:bookmarkEnd w:id="39"/>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0" w:name="_Toc4650"/>
      <w:bookmarkStart w:id="41" w:name="_Toc32217"/>
      <w:r>
        <w:rPr>
          <w:rFonts w:hint="eastAsia" w:asciiTheme="majorEastAsia" w:hAnsiTheme="majorEastAsia" w:eastAsiaTheme="majorEastAsia" w:cstheme="majorEastAsia"/>
          <w:spacing w:val="0"/>
          <w:w w:val="100"/>
          <w:kern w:val="2"/>
          <w:position w:val="0"/>
          <w:sz w:val="24"/>
          <w:szCs w:val="24"/>
          <w:shd w:val="clear"/>
          <w:lang w:val="en-US" w:eastAsia="zh-CN" w:bidi="ar-SA"/>
        </w:rPr>
        <w:t>2.1法律、法规、部门规章</w:t>
      </w:r>
      <w:bookmarkEnd w:id="40"/>
      <w:bookmarkEnd w:id="41"/>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2" w:name="bookmark34"/>
      <w:bookmarkEnd w:id="42"/>
      <w:r>
        <w:rPr>
          <w:rFonts w:hint="eastAsia" w:asciiTheme="majorEastAsia" w:hAnsiTheme="majorEastAsia" w:eastAsiaTheme="majorEastAsia" w:cstheme="majorEastAsia"/>
          <w:spacing w:val="0"/>
          <w:w w:val="100"/>
          <w:kern w:val="2"/>
          <w:position w:val="0"/>
          <w:sz w:val="24"/>
          <w:szCs w:val="24"/>
          <w:shd w:val="clear"/>
          <w:lang w:val="en-US" w:eastAsia="zh-CN" w:bidi="ar-SA"/>
        </w:rPr>
        <w:t>《中华人民共和国安全生产法》中华人民共和国主席令〔2021)第88号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color w:val="FF0000"/>
          <w:spacing w:val="0"/>
          <w:w w:val="100"/>
          <w:kern w:val="2"/>
          <w:position w:val="0"/>
          <w:sz w:val="24"/>
          <w:szCs w:val="24"/>
          <w:shd w:val="clear"/>
          <w:lang w:val="en-US" w:eastAsia="zh-CN" w:bidi="ar-SA"/>
        </w:rPr>
      </w:pPr>
      <w:bookmarkStart w:id="43" w:name="bookmark35"/>
      <w:bookmarkEnd w:id="43"/>
      <w:r>
        <w:rPr>
          <w:rFonts w:hint="eastAsia" w:asciiTheme="majorEastAsia" w:hAnsiTheme="majorEastAsia" w:eastAsiaTheme="majorEastAsia" w:cstheme="majorEastAsia"/>
          <w:color w:val="FF0000"/>
          <w:spacing w:val="0"/>
          <w:w w:val="100"/>
          <w:kern w:val="2"/>
          <w:position w:val="0"/>
          <w:sz w:val="24"/>
          <w:szCs w:val="24"/>
          <w:shd w:val="clear"/>
          <w:lang w:val="en-US" w:eastAsia="zh-CN" w:bidi="ar-SA"/>
        </w:rPr>
        <w:t>《水利工程建设安全生产管理规定》(2019年修订)水利部令〔2005)第26号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4" w:name="bookmark36"/>
      <w:bookmarkEnd w:id="44"/>
      <w:r>
        <w:rPr>
          <w:rFonts w:hint="eastAsia" w:asciiTheme="majorEastAsia" w:hAnsiTheme="majorEastAsia" w:eastAsiaTheme="majorEastAsia" w:cstheme="majorEastAsia"/>
          <w:spacing w:val="0"/>
          <w:w w:val="100"/>
          <w:kern w:val="2"/>
          <w:position w:val="0"/>
          <w:sz w:val="24"/>
          <w:szCs w:val="24"/>
          <w:shd w:val="clear"/>
          <w:lang w:val="en-US" w:eastAsia="zh-CN" w:bidi="ar-SA"/>
        </w:rPr>
        <w:t>《水利工程生产安全信息报告和处置规则》水安监(2016)220号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5" w:name="bookmark37"/>
      <w:bookmarkEnd w:id="45"/>
      <w:r>
        <w:rPr>
          <w:rFonts w:hint="eastAsia" w:asciiTheme="majorEastAsia" w:hAnsiTheme="majorEastAsia" w:eastAsiaTheme="majorEastAsia" w:cstheme="majorEastAsia"/>
          <w:spacing w:val="0"/>
          <w:w w:val="100"/>
          <w:kern w:val="2"/>
          <w:position w:val="0"/>
          <w:sz w:val="24"/>
          <w:szCs w:val="24"/>
          <w:shd w:val="clear"/>
          <w:lang w:val="en-US" w:eastAsia="zh-CN" w:bidi="ar-SA"/>
        </w:rPr>
        <w:t>《水利工程生产安全事故隐患判定标准(试行)〉〉水安监(2017)344号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6" w:name="bookmark38"/>
      <w:bookmarkEnd w:id="46"/>
      <w:r>
        <w:rPr>
          <w:rFonts w:hint="eastAsia" w:asciiTheme="majorEastAsia" w:hAnsiTheme="majorEastAsia" w:eastAsiaTheme="majorEastAsia" w:cstheme="majorEastAsia"/>
          <w:spacing w:val="0"/>
          <w:w w:val="100"/>
          <w:kern w:val="2"/>
          <w:position w:val="0"/>
          <w:sz w:val="24"/>
          <w:szCs w:val="24"/>
          <w:shd w:val="clear"/>
          <w:lang w:val="en-US" w:eastAsia="zh-CN" w:bidi="ar-SA"/>
        </w:rPr>
        <w:t>《水利水电工程施工危险源辨识与风险评价导则(试行)》办监督函(2018)1693号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7" w:name="bookmark39"/>
      <w:bookmarkEnd w:id="47"/>
      <w:r>
        <w:rPr>
          <w:rFonts w:hint="eastAsia" w:asciiTheme="majorEastAsia" w:hAnsiTheme="majorEastAsia" w:eastAsiaTheme="majorEastAsia" w:cstheme="majorEastAsia"/>
          <w:spacing w:val="0"/>
          <w:w w:val="100"/>
          <w:kern w:val="2"/>
          <w:position w:val="0"/>
          <w:sz w:val="24"/>
          <w:szCs w:val="24"/>
          <w:shd w:val="clear"/>
          <w:lang w:val="en-US" w:eastAsia="zh-CN" w:bidi="ar-SA"/>
        </w:rPr>
        <w:t>《水利部关于开展水利安全风险分级管控的指导意见》水监督(2018)323号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48" w:name="_Toc23560"/>
      <w:bookmarkStart w:id="49" w:name="_Toc6792"/>
      <w:r>
        <w:rPr>
          <w:rFonts w:hint="eastAsia" w:asciiTheme="majorEastAsia" w:hAnsiTheme="majorEastAsia" w:eastAsiaTheme="majorEastAsia" w:cstheme="majorEastAsia"/>
          <w:spacing w:val="0"/>
          <w:w w:val="100"/>
          <w:kern w:val="2"/>
          <w:position w:val="0"/>
          <w:sz w:val="24"/>
          <w:szCs w:val="24"/>
          <w:shd w:val="clear"/>
          <w:lang w:val="en-US" w:eastAsia="en-US" w:bidi="ar-SA"/>
        </w:rPr>
        <w:t>2.2</w:t>
      </w:r>
      <w:r>
        <w:rPr>
          <w:rFonts w:hint="eastAsia" w:asciiTheme="majorEastAsia" w:hAnsiTheme="majorEastAsia" w:eastAsiaTheme="majorEastAsia" w:cstheme="majorEastAsia"/>
          <w:spacing w:val="0"/>
          <w:w w:val="100"/>
          <w:kern w:val="2"/>
          <w:position w:val="0"/>
          <w:sz w:val="24"/>
          <w:szCs w:val="24"/>
          <w:shd w:val="clear"/>
          <w:lang w:val="en-US" w:eastAsia="zh-CN" w:bidi="ar-SA"/>
        </w:rPr>
        <w:t>国家、行业标准、规范</w:t>
      </w:r>
      <w:bookmarkEnd w:id="48"/>
      <w:bookmarkEnd w:id="49"/>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0" w:name="bookmark40"/>
      <w:bookmarkEnd w:id="50"/>
      <w:r>
        <w:rPr>
          <w:rFonts w:hint="eastAsia" w:asciiTheme="majorEastAsia" w:hAnsiTheme="majorEastAsia" w:eastAsiaTheme="majorEastAsia" w:cstheme="majorEastAsia"/>
          <w:spacing w:val="0"/>
          <w:w w:val="100"/>
          <w:kern w:val="2"/>
          <w:position w:val="0"/>
          <w:sz w:val="24"/>
          <w:szCs w:val="24"/>
          <w:shd w:val="clear"/>
          <w:lang w:val="en-US" w:eastAsia="zh-CN" w:bidi="ar-SA"/>
        </w:rPr>
        <w:t>《施工企业安全生产管理规范》</w:t>
      </w:r>
      <w:r>
        <w:rPr>
          <w:rFonts w:hint="eastAsia" w:asciiTheme="majorEastAsia" w:hAnsiTheme="majorEastAsia" w:eastAsiaTheme="majorEastAsia" w:cstheme="majorEastAsia"/>
          <w:spacing w:val="0"/>
          <w:w w:val="100"/>
          <w:kern w:val="2"/>
          <w:position w:val="0"/>
          <w:sz w:val="24"/>
          <w:szCs w:val="24"/>
          <w:shd w:val="clear"/>
          <w:lang w:val="en-US" w:eastAsia="en-US" w:bidi="ar-SA"/>
        </w:rPr>
        <w:t>GB50656-2011</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1" w:name="bookmark41"/>
      <w:bookmarkEnd w:id="51"/>
      <w:r>
        <w:rPr>
          <w:rFonts w:hint="eastAsia" w:asciiTheme="majorEastAsia" w:hAnsiTheme="majorEastAsia" w:eastAsiaTheme="majorEastAsia" w:cstheme="majorEastAsia"/>
          <w:spacing w:val="0"/>
          <w:w w:val="100"/>
          <w:kern w:val="2"/>
          <w:position w:val="0"/>
          <w:sz w:val="24"/>
          <w:szCs w:val="24"/>
          <w:shd w:val="clear"/>
          <w:lang w:val="en-US" w:eastAsia="zh-CN" w:bidi="ar-SA"/>
        </w:rPr>
        <w:t>《企业职工伤亡事故分类》</w:t>
      </w:r>
      <w:r>
        <w:rPr>
          <w:rFonts w:hint="eastAsia" w:asciiTheme="majorEastAsia" w:hAnsiTheme="majorEastAsia" w:eastAsiaTheme="majorEastAsia" w:cstheme="majorEastAsia"/>
          <w:spacing w:val="0"/>
          <w:w w:val="100"/>
          <w:kern w:val="2"/>
          <w:position w:val="0"/>
          <w:sz w:val="24"/>
          <w:szCs w:val="24"/>
          <w:shd w:val="clear"/>
          <w:lang w:val="en-US" w:eastAsia="en-US" w:bidi="ar-SA"/>
        </w:rPr>
        <w:t>GB/T6441-1986</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2" w:name="bookmark42"/>
      <w:bookmarkEnd w:id="52"/>
      <w:r>
        <w:rPr>
          <w:rFonts w:hint="eastAsia" w:asciiTheme="majorEastAsia" w:hAnsiTheme="majorEastAsia" w:eastAsiaTheme="majorEastAsia" w:cstheme="majorEastAsia"/>
          <w:spacing w:val="0"/>
          <w:w w:val="100"/>
          <w:kern w:val="2"/>
          <w:position w:val="0"/>
          <w:sz w:val="24"/>
          <w:szCs w:val="24"/>
          <w:shd w:val="clear"/>
          <w:lang w:val="en-US" w:eastAsia="zh-CN" w:bidi="ar-SA"/>
        </w:rPr>
        <w:t>《生产过程危险和有害因素分类与代码》</w:t>
      </w:r>
      <w:r>
        <w:rPr>
          <w:rFonts w:hint="eastAsia" w:asciiTheme="majorEastAsia" w:hAnsiTheme="majorEastAsia" w:eastAsiaTheme="majorEastAsia" w:cstheme="majorEastAsia"/>
          <w:spacing w:val="0"/>
          <w:w w:val="100"/>
          <w:kern w:val="2"/>
          <w:position w:val="0"/>
          <w:sz w:val="24"/>
          <w:szCs w:val="24"/>
          <w:shd w:val="clear"/>
          <w:lang w:val="en-US" w:eastAsia="en-US" w:bidi="ar-SA"/>
        </w:rPr>
        <w:t>GB/T13861-2009</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3" w:name="bookmark43"/>
      <w:bookmarkEnd w:id="53"/>
      <w:r>
        <w:rPr>
          <w:rFonts w:hint="eastAsia" w:asciiTheme="majorEastAsia" w:hAnsiTheme="majorEastAsia" w:eastAsiaTheme="majorEastAsia" w:cstheme="majorEastAsia"/>
          <w:spacing w:val="0"/>
          <w:w w:val="100"/>
          <w:kern w:val="2"/>
          <w:position w:val="0"/>
          <w:sz w:val="24"/>
          <w:szCs w:val="24"/>
          <w:shd w:val="clear"/>
          <w:lang w:val="en-US" w:eastAsia="zh-CN" w:bidi="ar-SA"/>
        </w:rPr>
        <w:t>《水利水电工程施工安全管理导则》</w:t>
      </w:r>
      <w:r>
        <w:rPr>
          <w:rFonts w:hint="eastAsia" w:asciiTheme="majorEastAsia" w:hAnsiTheme="majorEastAsia" w:eastAsiaTheme="majorEastAsia" w:cstheme="majorEastAsia"/>
          <w:spacing w:val="0"/>
          <w:w w:val="100"/>
          <w:kern w:val="2"/>
          <w:position w:val="0"/>
          <w:sz w:val="24"/>
          <w:szCs w:val="24"/>
          <w:shd w:val="clear"/>
          <w:lang w:val="en-US" w:eastAsia="en-US" w:bidi="ar-SA"/>
        </w:rPr>
        <w:t>SL721-2015</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4" w:name="bookmark44"/>
      <w:bookmarkEnd w:id="54"/>
      <w:r>
        <w:rPr>
          <w:rFonts w:hint="eastAsia" w:asciiTheme="majorEastAsia" w:hAnsiTheme="majorEastAsia" w:eastAsiaTheme="majorEastAsia" w:cstheme="majorEastAsia"/>
          <w:spacing w:val="0"/>
          <w:w w:val="100"/>
          <w:kern w:val="2"/>
          <w:position w:val="0"/>
          <w:sz w:val="24"/>
          <w:szCs w:val="24"/>
          <w:shd w:val="clear"/>
          <w:lang w:val="en-US" w:eastAsia="zh-CN" w:bidi="ar-SA"/>
        </w:rPr>
        <w:t>《危险化学品重大危险源辨识》</w:t>
      </w:r>
      <w:r>
        <w:rPr>
          <w:rFonts w:hint="eastAsia" w:asciiTheme="majorEastAsia" w:hAnsiTheme="majorEastAsia" w:eastAsiaTheme="majorEastAsia" w:cstheme="majorEastAsia"/>
          <w:spacing w:val="0"/>
          <w:w w:val="100"/>
          <w:kern w:val="2"/>
          <w:position w:val="0"/>
          <w:sz w:val="24"/>
          <w:szCs w:val="24"/>
          <w:shd w:val="clear"/>
          <w:lang w:val="en-US" w:eastAsia="en-US" w:bidi="ar-SA"/>
        </w:rPr>
        <w:t>GB18218</w:t>
      </w:r>
      <w:r>
        <w:rPr>
          <w:rFonts w:hint="eastAsia" w:asciiTheme="majorEastAsia" w:hAnsiTheme="majorEastAsia" w:eastAsiaTheme="majorEastAsia" w:cstheme="majorEastAsia"/>
          <w:spacing w:val="0"/>
          <w:w w:val="100"/>
          <w:kern w:val="2"/>
          <w:position w:val="0"/>
          <w:sz w:val="24"/>
          <w:szCs w:val="24"/>
          <w:shd w:val="clear"/>
          <w:lang w:val="en-US" w:eastAsia="zh-CN" w:bidi="ar-SA"/>
        </w:rPr>
        <w:t>-2018</w:t>
      </w:r>
    </w:p>
    <w:p>
      <w:pPr>
        <w:pageBreakBefore w:val="0"/>
        <w:kinsoku/>
        <w:overflowPunct/>
        <w:topLinePunct w:val="0"/>
        <w:spacing w:line="312"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br w:type="page"/>
      </w:r>
    </w:p>
    <w:p>
      <w:pPr>
        <w:pStyle w:val="19"/>
        <w:pageBreakBefore w:val="0"/>
        <w:numPr>
          <w:ilvl w:val="0"/>
          <w:numId w:val="0"/>
        </w:numPr>
        <w:kinsoku/>
        <w:overflowPunct/>
        <w:topLinePunct w:val="0"/>
        <w:spacing w:line="312" w:lineRule="auto"/>
        <w:ind w:right="0" w:rightChars="0"/>
        <w:jc w:val="center"/>
        <w:outlineLvl w:val="0"/>
        <w:rPr>
          <w:rFonts w:hint="eastAsia" w:asciiTheme="majorEastAsia" w:hAnsiTheme="majorEastAsia" w:eastAsiaTheme="majorEastAsia" w:cstheme="majorEastAsia"/>
          <w:sz w:val="24"/>
          <w:szCs w:val="24"/>
        </w:rPr>
      </w:pPr>
      <w:bookmarkStart w:id="55" w:name="_Toc17647"/>
      <w:bookmarkStart w:id="56" w:name="_Toc15780"/>
      <w:bookmarkStart w:id="57" w:name="_Toc24968"/>
      <w:bookmarkStart w:id="58" w:name="_Toc27423"/>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辩识方法和标准</w:t>
      </w:r>
      <w:bookmarkEnd w:id="55"/>
      <w:bookmarkEnd w:id="56"/>
      <w:bookmarkEnd w:id="57"/>
      <w:bookmarkEnd w:id="5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59" w:name="_Toc15820"/>
      <w:bookmarkStart w:id="60" w:name="_Toc806"/>
      <w:r>
        <w:rPr>
          <w:rFonts w:hint="eastAsia" w:asciiTheme="majorEastAsia" w:hAnsiTheme="majorEastAsia" w:eastAsiaTheme="majorEastAsia" w:cstheme="majorEastAsia"/>
          <w:spacing w:val="0"/>
          <w:w w:val="100"/>
          <w:kern w:val="2"/>
          <w:position w:val="0"/>
          <w:sz w:val="24"/>
          <w:szCs w:val="24"/>
          <w:shd w:val="clear"/>
          <w:lang w:val="en-US" w:eastAsia="en-US" w:bidi="ar-SA"/>
        </w:rPr>
        <w:t>3.1</w:t>
      </w:r>
      <w:r>
        <w:rPr>
          <w:rFonts w:hint="eastAsia" w:asciiTheme="majorEastAsia" w:hAnsiTheme="majorEastAsia" w:eastAsiaTheme="majorEastAsia" w:cstheme="majorEastAsia"/>
          <w:spacing w:val="0"/>
          <w:w w:val="100"/>
          <w:kern w:val="2"/>
          <w:position w:val="0"/>
          <w:sz w:val="24"/>
          <w:szCs w:val="24"/>
          <w:shd w:val="clear"/>
          <w:lang w:val="en-US" w:eastAsia="zh-CN" w:bidi="ar-SA"/>
        </w:rPr>
        <w:t>评价方法的选择</w:t>
      </w:r>
      <w:bookmarkEnd w:id="59"/>
      <w:bookmarkEnd w:id="60"/>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1" w:name="_Toc15332"/>
      <w:r>
        <w:rPr>
          <w:rFonts w:hint="eastAsia" w:asciiTheme="majorEastAsia" w:hAnsiTheme="majorEastAsia" w:eastAsiaTheme="majorEastAsia" w:cstheme="majorEastAsia"/>
          <w:spacing w:val="0"/>
          <w:w w:val="100"/>
          <w:kern w:val="2"/>
          <w:position w:val="0"/>
          <w:sz w:val="24"/>
          <w:szCs w:val="24"/>
          <w:shd w:val="clear"/>
          <w:lang w:val="en-US" w:eastAsia="en-US" w:bidi="ar-SA"/>
        </w:rPr>
        <w:t>3.1.1</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危险源辨识方法</w:t>
      </w:r>
      <w:bookmarkEnd w:id="61"/>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危险源辨识，是指对危险因素进行分析，识别危险源的存在并确定其特性的过程，包括辨识出危险源以及判定危险源类别与级别。危险源分两个级别，分别为重大危险源和一般危险源。</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根据《水利水电工程施工危险源辨识与风险评价导则（试行）》（办监督函（2018）1693号），结合工程实际情况，本次危险源辨识釆用直接判定法。</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当本工程区域内出现符合附件2、附件3中的任何一条要素的，可分别直接判定为重大危险源和一般危险源。</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2" w:name="_Toc15715"/>
      <w:r>
        <w:rPr>
          <w:rFonts w:hint="eastAsia" w:asciiTheme="majorEastAsia" w:hAnsiTheme="majorEastAsia" w:eastAsiaTheme="majorEastAsia" w:cstheme="majorEastAsia"/>
          <w:spacing w:val="0"/>
          <w:w w:val="100"/>
          <w:kern w:val="2"/>
          <w:position w:val="0"/>
          <w:sz w:val="24"/>
          <w:szCs w:val="24"/>
          <w:shd w:val="clear"/>
          <w:lang w:val="en-US" w:eastAsia="en-US" w:bidi="ar-SA"/>
        </w:rPr>
        <w:t>3.1.2</w:t>
      </w:r>
      <w:r>
        <w:rPr>
          <w:rFonts w:hint="eastAsia" w:asciiTheme="majorEastAsia" w:hAnsiTheme="majorEastAsia" w:eastAsiaTheme="majorEastAsia" w:cstheme="majorEastAsia"/>
          <w:spacing w:val="0"/>
          <w:w w:val="100"/>
          <w:kern w:val="2"/>
          <w:position w:val="0"/>
          <w:sz w:val="24"/>
          <w:szCs w:val="24"/>
          <w:shd w:val="clear"/>
          <w:lang w:val="en-US" w:eastAsia="zh-CN" w:bidi="ar-SA"/>
        </w:rPr>
        <w:t>风险评价方法</w:t>
      </w:r>
      <w:bookmarkEnd w:id="62"/>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风险评价，是对危险源的各种危险因素、发生事故的可能性及损失与伤害程度等进行调查、分析、论证等，以判断危险源风险等级的过程。危险源的风险等级分为四级，由高到低依次为重大风险、较大风险、一般风险和低风险。</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3" w:name="bookmark51"/>
      <w:r>
        <w:rPr>
          <w:rFonts w:hint="eastAsia" w:asciiTheme="majorEastAsia" w:hAnsiTheme="majorEastAsia" w:eastAsiaTheme="majorEastAsia" w:cstheme="majorEastAsia"/>
          <w:spacing w:val="0"/>
          <w:w w:val="100"/>
          <w:kern w:val="2"/>
          <w:position w:val="0"/>
          <w:sz w:val="24"/>
          <w:szCs w:val="24"/>
          <w:shd w:val="clear"/>
          <w:lang w:val="en-US" w:eastAsia="zh-CN" w:bidi="ar-SA"/>
        </w:rPr>
        <w:t>（</w:t>
      </w:r>
      <w:bookmarkEnd w:id="63"/>
      <w:r>
        <w:rPr>
          <w:rFonts w:hint="eastAsia" w:asciiTheme="majorEastAsia" w:hAnsiTheme="majorEastAsia" w:eastAsiaTheme="majorEastAsia" w:cstheme="majorEastAsia"/>
          <w:spacing w:val="0"/>
          <w:w w:val="100"/>
          <w:kern w:val="2"/>
          <w:position w:val="0"/>
          <w:sz w:val="24"/>
          <w:szCs w:val="24"/>
          <w:shd w:val="clear"/>
          <w:lang w:val="en-US" w:eastAsia="zh-CN" w:bidi="ar-SA"/>
        </w:rPr>
        <w:t>1）重大风险：发生风险事件概率、危害程度均为大，或危害程度为大、发生风险事件概率为中；极其危险，由项目法人组织监理单位、施工单位共同管控，主管部门重点监督检查。</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4" w:name="bookmark52"/>
      <w:r>
        <w:rPr>
          <w:rFonts w:hint="eastAsia" w:asciiTheme="majorEastAsia" w:hAnsiTheme="majorEastAsia" w:eastAsiaTheme="majorEastAsia" w:cstheme="majorEastAsia"/>
          <w:spacing w:val="0"/>
          <w:w w:val="100"/>
          <w:kern w:val="2"/>
          <w:position w:val="0"/>
          <w:sz w:val="24"/>
          <w:szCs w:val="24"/>
          <w:shd w:val="clear"/>
          <w:lang w:val="en-US" w:eastAsia="zh-CN" w:bidi="ar-SA"/>
        </w:rPr>
        <w:t>（</w:t>
      </w:r>
      <w:bookmarkEnd w:id="64"/>
      <w:r>
        <w:rPr>
          <w:rFonts w:hint="eastAsia" w:asciiTheme="majorEastAsia" w:hAnsiTheme="majorEastAsia" w:eastAsiaTheme="majorEastAsia" w:cstheme="majorEastAsia"/>
          <w:spacing w:val="0"/>
          <w:w w:val="100"/>
          <w:kern w:val="2"/>
          <w:position w:val="0"/>
          <w:sz w:val="24"/>
          <w:szCs w:val="24"/>
          <w:shd w:val="clear"/>
          <w:lang w:val="en-US" w:eastAsia="zh-CN" w:bidi="ar-SA"/>
        </w:rPr>
        <w:t>2）较大风险：发生风险事件概率、危害程度均为中，或危害程度为中、发生风险事件概率为小；高度危险，由监理单位组织施工单位共同管控，项目法人监督。</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5" w:name="bookmark53"/>
      <w:r>
        <w:rPr>
          <w:rFonts w:hint="eastAsia" w:asciiTheme="majorEastAsia" w:hAnsiTheme="majorEastAsia" w:eastAsiaTheme="majorEastAsia" w:cstheme="majorEastAsia"/>
          <w:spacing w:val="0"/>
          <w:w w:val="100"/>
          <w:kern w:val="2"/>
          <w:position w:val="0"/>
          <w:sz w:val="24"/>
          <w:szCs w:val="24"/>
          <w:shd w:val="clear"/>
          <w:lang w:val="en-US" w:eastAsia="zh-CN" w:bidi="ar-SA"/>
        </w:rPr>
        <w:t>（</w:t>
      </w:r>
      <w:bookmarkEnd w:id="65"/>
      <w:r>
        <w:rPr>
          <w:rFonts w:hint="eastAsia" w:asciiTheme="majorEastAsia" w:hAnsiTheme="majorEastAsia" w:eastAsiaTheme="majorEastAsia" w:cstheme="majorEastAsia"/>
          <w:spacing w:val="0"/>
          <w:w w:val="100"/>
          <w:kern w:val="2"/>
          <w:position w:val="0"/>
          <w:sz w:val="24"/>
          <w:szCs w:val="24"/>
          <w:shd w:val="clear"/>
          <w:lang w:val="en-US" w:eastAsia="zh-CN" w:bidi="ar-SA"/>
        </w:rPr>
        <w:t>3）—般风险：发生风险事件概率为中、危害程度为小；中度危险，由施工单位管控，监理单位监督。</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6" w:name="bookmark54"/>
      <w:r>
        <w:rPr>
          <w:rFonts w:hint="eastAsia" w:asciiTheme="majorEastAsia" w:hAnsiTheme="majorEastAsia" w:eastAsiaTheme="majorEastAsia" w:cstheme="majorEastAsia"/>
          <w:spacing w:val="0"/>
          <w:w w:val="100"/>
          <w:kern w:val="2"/>
          <w:position w:val="0"/>
          <w:sz w:val="24"/>
          <w:szCs w:val="24"/>
          <w:shd w:val="clear"/>
          <w:lang w:val="en-US" w:eastAsia="zh-CN" w:bidi="ar-SA"/>
        </w:rPr>
        <w:t>（</w:t>
      </w:r>
      <w:bookmarkEnd w:id="66"/>
      <w:r>
        <w:rPr>
          <w:rFonts w:hint="eastAsia" w:asciiTheme="majorEastAsia" w:hAnsiTheme="majorEastAsia" w:eastAsiaTheme="majorEastAsia" w:cstheme="majorEastAsia"/>
          <w:spacing w:val="0"/>
          <w:w w:val="100"/>
          <w:kern w:val="2"/>
          <w:position w:val="0"/>
          <w:sz w:val="24"/>
          <w:szCs w:val="24"/>
          <w:shd w:val="clear"/>
          <w:lang w:val="en-US" w:eastAsia="zh-CN" w:bidi="ar-SA"/>
        </w:rPr>
        <w:t>4）低风险：发生风险事件概率、危害程度均为小；轻度危险,由施工单位自行管控。</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重大危险源的风险等级直接评定为重大风险等级；结合工程实际情况，本次一般危险源风险等级评价选取作业条件危险性评价法</w:t>
      </w:r>
      <w:r>
        <w:rPr>
          <w:rFonts w:hint="eastAsia" w:asciiTheme="majorEastAsia" w:hAnsiTheme="majorEastAsia" w:eastAsiaTheme="majorEastAsia" w:cstheme="majorEastAsia"/>
          <w:spacing w:val="0"/>
          <w:w w:val="100"/>
          <w:kern w:val="2"/>
          <w:position w:val="0"/>
          <w:sz w:val="24"/>
          <w:szCs w:val="24"/>
          <w:shd w:val="clear"/>
          <w:lang w:val="en-US" w:eastAsia="en-US" w:bidi="ar-SA"/>
        </w:rPr>
        <w:t>（LEC）</w:t>
      </w:r>
      <w:r>
        <w:rPr>
          <w:rFonts w:hint="eastAsia" w:asciiTheme="majorEastAsia" w:hAnsiTheme="majorEastAsia" w:eastAsiaTheme="majorEastAsia" w:cstheme="majorEastAsia"/>
          <w:spacing w:val="0"/>
          <w:w w:val="100"/>
          <w:kern w:val="2"/>
          <w:position w:val="0"/>
          <w:sz w:val="24"/>
          <w:szCs w:val="24"/>
          <w:shd w:val="clear"/>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67" w:name="_Toc26684"/>
      <w:bookmarkStart w:id="68" w:name="_Toc14443"/>
      <w:r>
        <w:rPr>
          <w:rFonts w:hint="eastAsia" w:asciiTheme="majorEastAsia" w:hAnsiTheme="majorEastAsia" w:eastAsiaTheme="majorEastAsia" w:cstheme="majorEastAsia"/>
          <w:spacing w:val="0"/>
          <w:w w:val="100"/>
          <w:kern w:val="2"/>
          <w:position w:val="0"/>
          <w:sz w:val="24"/>
          <w:szCs w:val="24"/>
          <w:shd w:val="clear"/>
          <w:lang w:val="en-US" w:eastAsia="en-US" w:bidi="ar-SA"/>
        </w:rPr>
        <w:t>3.2</w:t>
      </w:r>
      <w:r>
        <w:rPr>
          <w:rFonts w:hint="eastAsia" w:asciiTheme="majorEastAsia" w:hAnsiTheme="majorEastAsia" w:eastAsiaTheme="majorEastAsia" w:cstheme="majorEastAsia"/>
          <w:spacing w:val="0"/>
          <w:w w:val="100"/>
          <w:kern w:val="2"/>
          <w:position w:val="0"/>
          <w:sz w:val="24"/>
          <w:szCs w:val="24"/>
          <w:shd w:val="clear"/>
          <w:lang w:val="en-US" w:eastAsia="zh-CN" w:bidi="ar-SA"/>
        </w:rPr>
        <w:t>评价方法简介</w:t>
      </w:r>
      <w:bookmarkEnd w:id="67"/>
      <w:bookmarkEnd w:id="6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作业条件危险性评价法</w:t>
      </w:r>
      <w:r>
        <w:rPr>
          <w:rFonts w:hint="eastAsia" w:asciiTheme="majorEastAsia" w:hAnsiTheme="majorEastAsia" w:eastAsiaTheme="majorEastAsia" w:cstheme="majorEastAsia"/>
          <w:spacing w:val="0"/>
          <w:w w:val="100"/>
          <w:kern w:val="2"/>
          <w:position w:val="0"/>
          <w:sz w:val="24"/>
          <w:szCs w:val="24"/>
          <w:shd w:val="clear"/>
          <w:lang w:val="en-US" w:eastAsia="en-US" w:bidi="ar-SA"/>
        </w:rPr>
        <w:t>（LEC）</w:t>
      </w:r>
      <w:r>
        <w:rPr>
          <w:rFonts w:hint="eastAsia" w:asciiTheme="majorEastAsia" w:hAnsiTheme="majorEastAsia" w:eastAsiaTheme="majorEastAsia" w:cstheme="majorEastAsia"/>
          <w:spacing w:val="0"/>
          <w:w w:val="100"/>
          <w:kern w:val="2"/>
          <w:position w:val="0"/>
          <w:sz w:val="24"/>
          <w:szCs w:val="24"/>
          <w:shd w:val="clear"/>
          <w:lang w:val="en-US" w:eastAsia="zh-CN" w:bidi="ar-SA"/>
        </w:rPr>
        <w:t>适用于工程施工各个阶段。作业条件危险性评价法中危险性大小值</w:t>
      </w:r>
      <w:r>
        <w:rPr>
          <w:rFonts w:hint="eastAsia" w:asciiTheme="majorEastAsia" w:hAnsiTheme="majorEastAsia" w:eastAsiaTheme="majorEastAsia" w:cstheme="majorEastAsia"/>
          <w:spacing w:val="0"/>
          <w:w w:val="100"/>
          <w:kern w:val="2"/>
          <w:position w:val="0"/>
          <w:sz w:val="24"/>
          <w:szCs w:val="24"/>
          <w:shd w:val="clear"/>
          <w:lang w:val="en-US" w:eastAsia="en-US" w:bidi="ar-SA"/>
        </w:rPr>
        <w:t>D</w:t>
      </w:r>
      <w:r>
        <w:rPr>
          <w:rFonts w:hint="eastAsia" w:asciiTheme="majorEastAsia" w:hAnsiTheme="majorEastAsia" w:eastAsiaTheme="majorEastAsia" w:cstheme="majorEastAsia"/>
          <w:spacing w:val="0"/>
          <w:w w:val="100"/>
          <w:kern w:val="2"/>
          <w:position w:val="0"/>
          <w:sz w:val="24"/>
          <w:szCs w:val="24"/>
          <w:shd w:val="clear"/>
          <w:lang w:val="en-US" w:eastAsia="zh-CN" w:bidi="ar-SA"/>
        </w:rPr>
        <w:t>按下式计算：</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D=LEC</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式中：</w:t>
      </w:r>
      <w:r>
        <w:rPr>
          <w:rFonts w:hint="eastAsia" w:asciiTheme="majorEastAsia" w:hAnsiTheme="majorEastAsia" w:eastAsiaTheme="majorEastAsia" w:cstheme="majorEastAsia"/>
          <w:spacing w:val="0"/>
          <w:w w:val="100"/>
          <w:kern w:val="2"/>
          <w:position w:val="0"/>
          <w:sz w:val="24"/>
          <w:szCs w:val="24"/>
          <w:shd w:val="clear"/>
          <w:lang w:val="en-US" w:eastAsia="en-US" w:bidi="ar-SA"/>
        </w:rPr>
        <w:t>D</w:t>
      </w:r>
      <w:r>
        <w:rPr>
          <w:rFonts w:hint="eastAsia" w:asciiTheme="majorEastAsia" w:hAnsiTheme="majorEastAsia" w:eastAsiaTheme="majorEastAsia" w:cstheme="majorEastAsia"/>
          <w:spacing w:val="0"/>
          <w:w w:val="100"/>
          <w:kern w:val="2"/>
          <w:position w:val="0"/>
          <w:sz w:val="24"/>
          <w:szCs w:val="24"/>
          <w:shd w:val="clear"/>
          <w:lang w:val="en-US" w:eastAsia="zh-CN" w:bidi="ar-SA"/>
        </w:rPr>
        <w:t>一危险性大小值；</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L一</w:t>
      </w:r>
      <w:r>
        <w:rPr>
          <w:rFonts w:hint="eastAsia" w:asciiTheme="majorEastAsia" w:hAnsiTheme="majorEastAsia" w:eastAsiaTheme="majorEastAsia" w:cstheme="majorEastAsia"/>
          <w:spacing w:val="0"/>
          <w:w w:val="100"/>
          <w:kern w:val="2"/>
          <w:position w:val="0"/>
          <w:sz w:val="24"/>
          <w:szCs w:val="24"/>
          <w:shd w:val="clear"/>
          <w:lang w:val="en-US" w:eastAsia="zh-CN" w:bidi="ar-SA"/>
        </w:rPr>
        <w:t>发生事故或危险事件的可能性大小；</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E—</w:t>
      </w:r>
      <w:r>
        <w:rPr>
          <w:rFonts w:hint="eastAsia" w:asciiTheme="majorEastAsia" w:hAnsiTheme="majorEastAsia" w:eastAsiaTheme="majorEastAsia" w:cstheme="majorEastAsia"/>
          <w:spacing w:val="0"/>
          <w:w w:val="100"/>
          <w:kern w:val="2"/>
          <w:position w:val="0"/>
          <w:sz w:val="24"/>
          <w:szCs w:val="24"/>
          <w:shd w:val="clear"/>
          <w:lang w:val="en-US" w:eastAsia="zh-CN" w:bidi="ar-SA"/>
        </w:rPr>
        <w:t>人体暴露于危险环境的频率；</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C—</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危险严重程度。</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（1）事故或危险性事件发生的可能性</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值与作业类型有关，可根据施工工期制定出相应的</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值判定指标，</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值可按表的规定确定。</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表</w:t>
      </w:r>
      <w:r>
        <w:rPr>
          <w:rFonts w:hint="eastAsia" w:asciiTheme="majorEastAsia" w:hAnsiTheme="majorEastAsia" w:eastAsiaTheme="majorEastAsia" w:cstheme="majorEastAsia"/>
          <w:spacing w:val="0"/>
          <w:w w:val="100"/>
          <w:kern w:val="2"/>
          <w:position w:val="0"/>
          <w:sz w:val="24"/>
          <w:szCs w:val="24"/>
          <w:shd w:val="clear"/>
          <w:lang w:val="en-US" w:eastAsia="en-US" w:bidi="ar-SA"/>
        </w:rPr>
        <w:t>3.1</w:t>
      </w:r>
      <w:r>
        <w:rPr>
          <w:rFonts w:hint="eastAsia" w:asciiTheme="majorEastAsia" w:hAnsiTheme="majorEastAsia" w:eastAsiaTheme="majorEastAsia" w:cstheme="majorEastAsia"/>
          <w:spacing w:val="0"/>
          <w:w w:val="100"/>
          <w:kern w:val="2"/>
          <w:position w:val="0"/>
          <w:sz w:val="24"/>
          <w:szCs w:val="24"/>
          <w:shd w:val="clear"/>
          <w:lang w:val="en-US" w:eastAsia="zh-CN" w:bidi="ar-SA"/>
        </w:rPr>
        <w:t>事故或危险性事件发生的可能性</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值对照表</w:t>
      </w:r>
    </w:p>
    <w:tbl>
      <w:tblPr>
        <w:tblStyle w:val="16"/>
        <w:tblW w:w="0" w:type="auto"/>
        <w:jc w:val="center"/>
        <w:tblLayout w:type="fixed"/>
        <w:tblCellMar>
          <w:top w:w="0" w:type="dxa"/>
          <w:left w:w="10" w:type="dxa"/>
          <w:bottom w:w="0" w:type="dxa"/>
          <w:right w:w="10" w:type="dxa"/>
        </w:tblCellMar>
      </w:tblPr>
      <w:tblGrid>
        <w:gridCol w:w="3259"/>
        <w:gridCol w:w="3696"/>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lang w:val="en-US" w:eastAsia="en-US" w:bidi="en-US"/>
              </w:rPr>
              <w:t>L</w:t>
            </w:r>
            <w:r>
              <w:rPr>
                <w:rFonts w:hint="eastAsia" w:asciiTheme="majorEastAsia" w:hAnsiTheme="majorEastAsia" w:eastAsiaTheme="majorEastAsia" w:cstheme="majorEastAsia"/>
                <w:b/>
                <w:bCs/>
                <w:color w:val="auto"/>
                <w:spacing w:val="0"/>
                <w:w w:val="100"/>
                <w:position w:val="0"/>
                <w:sz w:val="24"/>
                <w:szCs w:val="24"/>
              </w:rPr>
              <w:t>值</w:t>
            </w:r>
          </w:p>
        </w:tc>
        <w:tc>
          <w:tcPr>
            <w:tcBorders>
              <w:top w:val="single" w:color="auto" w:sz="4" w:space="0"/>
              <w:left w:val="single" w:color="auto" w:sz="4" w:space="0"/>
              <w:right w:val="single" w:color="auto" w:sz="4" w:space="0"/>
            </w:tcBorders>
            <w:shd w:val="clear" w:color="auto" w:fill="FFFFFF"/>
            <w:vAlign w:val="bottom"/>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0"/>
                <w:w w:val="100"/>
                <w:position w:val="0"/>
                <w:sz w:val="24"/>
                <w:szCs w:val="24"/>
              </w:rPr>
              <w:t>事故发生的可能性</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10</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完全可以预料</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6</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相当可能</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3</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可能，但不经常</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1</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可能性小，完全意外</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lang w:val="en-US" w:eastAsia="en-US" w:bidi="en-US"/>
              </w:rPr>
              <w:t>0.5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很不可能，可以设想</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bottom w:val="single" w:color="auto" w:sz="4" w:space="0"/>
            </w:tcBorders>
            <w:shd w:val="clear" w:color="auto" w:fill="FFFFFF"/>
            <w:vAlign w:val="center"/>
          </w:tcPr>
          <w:p>
            <w:pPr>
              <w:pageBreakBefore w:val="0"/>
              <w:widowControl/>
              <w:kinsoku/>
              <w:wordWrap w:val="0"/>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color w:val="000000"/>
                <w:spacing w:val="0"/>
                <w:w w:val="100"/>
                <w:kern w:val="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0.2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val="0"/>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color w:val="000000"/>
                <w:spacing w:val="0"/>
                <w:w w:val="100"/>
                <w:kern w:val="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极不可能</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人体暴露于危险环境的频率E值与工程类型无关，仅与施工作业时间长短有关，可从人体暴露于危险环境的频率，或危险环境人员的分布及人员出入的多少，或设备及装置的影响因素，分析、确定E值的大小，可按表2.2的规定确定。</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表3.2暴露于危险环境的频率因素E值对照表</w:t>
      </w:r>
    </w:p>
    <w:tbl>
      <w:tblPr>
        <w:tblStyle w:val="16"/>
        <w:tblW w:w="8333" w:type="dxa"/>
        <w:tblInd w:w="0" w:type="dxa"/>
        <w:tblLayout w:type="autofit"/>
        <w:tblCellMar>
          <w:top w:w="0" w:type="dxa"/>
          <w:left w:w="0" w:type="dxa"/>
          <w:bottom w:w="0" w:type="dxa"/>
          <w:right w:w="0" w:type="dxa"/>
        </w:tblCellMar>
      </w:tblPr>
      <w:tblGrid>
        <w:gridCol w:w="3939"/>
        <w:gridCol w:w="4394"/>
      </w:tblGrid>
      <w:tr>
        <w:tblPrEx>
          <w:tblCellMar>
            <w:top w:w="0" w:type="dxa"/>
            <w:left w:w="0" w:type="dxa"/>
            <w:bottom w:w="0" w:type="dxa"/>
            <w:right w:w="0" w:type="dxa"/>
          </w:tblCellMar>
        </w:tblPrEx>
        <w:tc>
          <w:tcPr>
            <w:tcW w:w="3939"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E值</w:t>
            </w:r>
          </w:p>
        </w:tc>
        <w:tc>
          <w:tcPr>
            <w:tcW w:w="4394"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暴露于危险环境的频繁程度</w:t>
            </w:r>
          </w:p>
        </w:tc>
      </w:tr>
      <w:tr>
        <w:tblPrEx>
          <w:tblCellMar>
            <w:top w:w="0" w:type="dxa"/>
            <w:left w:w="0" w:type="dxa"/>
            <w:bottom w:w="0" w:type="dxa"/>
            <w:right w:w="0" w:type="dxa"/>
          </w:tblCellMar>
        </w:tblPrEx>
        <w:trPr>
          <w:trHeight w:val="420" w:hRule="atLeast"/>
        </w:trPr>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连续暴露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每天工作时间内暴露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每周1次，或偶然暴露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每月1次暴露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每年几次暴露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非常罕见暴露</w:t>
            </w:r>
          </w:p>
        </w:tc>
      </w:tr>
    </w:tbl>
    <w:p>
      <w:pPr>
        <w:pageBreakBefore w:val="0"/>
        <w:widowControl/>
        <w:shd w:val="clear" w:color="auto" w:fill="FFFFFF"/>
        <w:kinsoku/>
        <w:overflowPunct/>
        <w:topLinePunct w:val="0"/>
        <w:spacing w:line="312" w:lineRule="auto"/>
        <w:ind w:firstLine="516" w:firstLineChars="200"/>
        <w:rPr>
          <w:rFonts w:hint="eastAsia" w:asciiTheme="majorEastAsia" w:hAnsiTheme="majorEastAsia" w:eastAsiaTheme="majorEastAsia" w:cstheme="majorEastAsia"/>
          <w:color w:val="333333"/>
          <w:spacing w:val="9"/>
          <w:kern w:val="0"/>
          <w:sz w:val="24"/>
          <w:szCs w:val="24"/>
        </w:rPr>
      </w:pPr>
      <w:r>
        <w:rPr>
          <w:rFonts w:hint="eastAsia" w:asciiTheme="majorEastAsia" w:hAnsiTheme="majorEastAsia" w:eastAsiaTheme="majorEastAsia" w:cstheme="majorEastAsia"/>
          <w:color w:val="auto"/>
          <w:spacing w:val="9"/>
          <w:kern w:val="0"/>
          <w:sz w:val="24"/>
          <w:szCs w:val="24"/>
        </w:rPr>
        <w:t>发生事故可能造成的后果，即危险严重度因素C值与危险源在触发因素作用下发生事故时产生后果的严重程度有关，可从人身安全、财产及经济损失、社会影响等因素，分析危险源发生事故可能产生的后果确定C值，可按</w:t>
      </w:r>
      <w:r>
        <w:rPr>
          <w:rFonts w:hint="eastAsia" w:asciiTheme="majorEastAsia" w:hAnsiTheme="majorEastAsia" w:eastAsiaTheme="majorEastAsia" w:cstheme="majorEastAsia"/>
          <w:color w:val="auto"/>
          <w:spacing w:val="9"/>
          <w:kern w:val="0"/>
          <w:sz w:val="24"/>
          <w:szCs w:val="24"/>
          <w:lang w:eastAsia="zh-CN"/>
        </w:rPr>
        <w:t>下</w:t>
      </w:r>
      <w:r>
        <w:rPr>
          <w:rFonts w:hint="eastAsia" w:asciiTheme="majorEastAsia" w:hAnsiTheme="majorEastAsia" w:eastAsiaTheme="majorEastAsia" w:cstheme="majorEastAsia"/>
          <w:color w:val="auto"/>
          <w:spacing w:val="9"/>
          <w:kern w:val="0"/>
          <w:sz w:val="24"/>
          <w:szCs w:val="24"/>
        </w:rPr>
        <w:t>表的规定确定</w:t>
      </w:r>
      <w:r>
        <w:rPr>
          <w:rFonts w:hint="eastAsia" w:asciiTheme="majorEastAsia" w:hAnsiTheme="majorEastAsia" w:eastAsiaTheme="majorEastAsia" w:cstheme="majorEastAsia"/>
          <w:color w:val="333333"/>
          <w:spacing w:val="9"/>
          <w:kern w:val="0"/>
          <w:sz w:val="24"/>
          <w:szCs w:val="24"/>
        </w:rPr>
        <w:t>。</w:t>
      </w:r>
    </w:p>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3.3</w:t>
      </w:r>
      <w:r>
        <w:rPr>
          <w:rFonts w:hint="eastAsia" w:asciiTheme="majorEastAsia" w:hAnsiTheme="majorEastAsia" w:eastAsiaTheme="majorEastAsia" w:cstheme="majorEastAsia"/>
          <w:color w:val="auto"/>
          <w:spacing w:val="0"/>
          <w:w w:val="100"/>
          <w:position w:val="0"/>
          <w:sz w:val="24"/>
          <w:szCs w:val="24"/>
        </w:rPr>
        <w:t>危险严重度因素</w:t>
      </w:r>
      <w:r>
        <w:rPr>
          <w:rFonts w:hint="eastAsia" w:asciiTheme="majorEastAsia" w:hAnsiTheme="majorEastAsia" w:eastAsiaTheme="majorEastAsia" w:cstheme="majorEastAsia"/>
          <w:color w:val="auto"/>
          <w:spacing w:val="0"/>
          <w:w w:val="100"/>
          <w:position w:val="0"/>
          <w:sz w:val="24"/>
          <w:szCs w:val="24"/>
          <w:lang w:val="en-US" w:eastAsia="en-US" w:bidi="en-US"/>
        </w:rPr>
        <w:t>C</w:t>
      </w:r>
      <w:r>
        <w:rPr>
          <w:rFonts w:hint="eastAsia" w:asciiTheme="majorEastAsia" w:hAnsiTheme="majorEastAsia" w:eastAsiaTheme="majorEastAsia" w:cstheme="majorEastAsia"/>
          <w:color w:val="auto"/>
          <w:spacing w:val="0"/>
          <w:w w:val="100"/>
          <w:position w:val="0"/>
          <w:sz w:val="24"/>
          <w:szCs w:val="24"/>
        </w:rPr>
        <w:t>值对照表</w:t>
      </w:r>
    </w:p>
    <w:tbl>
      <w:tblPr>
        <w:tblStyle w:val="16"/>
        <w:tblW w:w="8475" w:type="dxa"/>
        <w:tblInd w:w="0" w:type="dxa"/>
        <w:tblLayout w:type="autofit"/>
        <w:tblCellMar>
          <w:top w:w="0" w:type="dxa"/>
          <w:left w:w="0" w:type="dxa"/>
          <w:bottom w:w="0" w:type="dxa"/>
          <w:right w:w="0" w:type="dxa"/>
        </w:tblCellMar>
      </w:tblPr>
      <w:tblGrid>
        <w:gridCol w:w="1805"/>
        <w:gridCol w:w="6670"/>
      </w:tblGrid>
      <w:tr>
        <w:tblPrEx>
          <w:tblCellMar>
            <w:top w:w="0" w:type="dxa"/>
            <w:left w:w="0" w:type="dxa"/>
            <w:bottom w:w="0" w:type="dxa"/>
            <w:right w:w="0" w:type="dxa"/>
          </w:tblCellMar>
        </w:tblPrEx>
        <w:trPr>
          <w:trHeight w:val="342" w:hRule="atLeast"/>
        </w:trPr>
        <w:tc>
          <w:tcPr>
            <w:tcW w:w="1805"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C值</w:t>
            </w:r>
          </w:p>
        </w:tc>
        <w:tc>
          <w:tcPr>
            <w:tcW w:w="6670" w:type="dxa"/>
            <w:tcBorders>
              <w:top w:val="single" w:color="auto" w:sz="6" w:space="0"/>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危险严重度因素</w:t>
            </w:r>
          </w:p>
        </w:tc>
      </w:tr>
      <w:tr>
        <w:tblPrEx>
          <w:tblCellMar>
            <w:top w:w="0" w:type="dxa"/>
            <w:left w:w="0" w:type="dxa"/>
            <w:bottom w:w="0" w:type="dxa"/>
            <w:right w:w="0" w:type="dxa"/>
          </w:tblCellMar>
        </w:tblPrEx>
        <w:trPr>
          <w:trHeight w:val="510"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造成30人以上（含30人）死亡，或者100人以上重伤（包括急性工业中毒，下同），或者1亿元以上直接经济损失</w:t>
            </w:r>
          </w:p>
        </w:tc>
      </w:tr>
      <w:tr>
        <w:tblPrEx>
          <w:tblCellMar>
            <w:top w:w="0" w:type="dxa"/>
            <w:left w:w="0" w:type="dxa"/>
            <w:bottom w:w="0" w:type="dxa"/>
            <w:right w:w="0" w:type="dxa"/>
          </w:tblCellMar>
        </w:tblPrEx>
        <w:trPr>
          <w:trHeight w:val="555"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40</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造成10人～29人死亡，或者50人～99人重伤，或者5000万元以上1亿元以下直接经济损失</w:t>
            </w:r>
          </w:p>
        </w:tc>
      </w:tr>
      <w:tr>
        <w:tblPrEx>
          <w:tblCellMar>
            <w:top w:w="0" w:type="dxa"/>
            <w:left w:w="0" w:type="dxa"/>
            <w:bottom w:w="0" w:type="dxa"/>
            <w:right w:w="0" w:type="dxa"/>
          </w:tblCellMar>
        </w:tblPrEx>
        <w:trPr>
          <w:trHeight w:val="540"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造成3人～9人死亡，或者10人～49人重伤，或者1000万元以上5000万元以下直接经济损失</w:t>
            </w:r>
          </w:p>
        </w:tc>
      </w:tr>
      <w:tr>
        <w:tblPrEx>
          <w:tblCellMar>
            <w:top w:w="0" w:type="dxa"/>
            <w:left w:w="0" w:type="dxa"/>
            <w:bottom w:w="0" w:type="dxa"/>
            <w:right w:w="0" w:type="dxa"/>
          </w:tblCellMar>
        </w:tblPrEx>
        <w:trPr>
          <w:trHeight w:val="510"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造成3人以下死亡，或者10人以下重伤，或者1000万元以下直接经济损失</w:t>
            </w:r>
          </w:p>
        </w:tc>
      </w:tr>
      <w:tr>
        <w:tblPrEx>
          <w:tblCellMar>
            <w:top w:w="0" w:type="dxa"/>
            <w:left w:w="0" w:type="dxa"/>
            <w:bottom w:w="0" w:type="dxa"/>
            <w:right w:w="0" w:type="dxa"/>
          </w:tblCellMar>
        </w:tblPrEx>
        <w:trPr>
          <w:trHeight w:val="510"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无人员死亡，致残或重伤，或很小的财产损失</w:t>
            </w:r>
          </w:p>
        </w:tc>
      </w:tr>
      <w:tr>
        <w:tblPrEx>
          <w:tblCellMar>
            <w:top w:w="0" w:type="dxa"/>
            <w:left w:w="0" w:type="dxa"/>
            <w:bottom w:w="0" w:type="dxa"/>
            <w:right w:w="0" w:type="dxa"/>
          </w:tblCellMar>
        </w:tblPrEx>
        <w:trPr>
          <w:trHeight w:val="510" w:hRule="atLeast"/>
        </w:trPr>
        <w:tc>
          <w:tcPr>
            <w:tcW w:w="180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67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引人注目，不利于基本的安全卫生要求</w:t>
            </w:r>
          </w:p>
        </w:tc>
      </w:tr>
    </w:tbl>
    <w:p>
      <w:pPr>
        <w:pageBreakBefore w:val="0"/>
        <w:widowControl/>
        <w:shd w:val="clear" w:color="auto" w:fill="FFFFFF"/>
        <w:kinsoku/>
        <w:overflowPunct/>
        <w:topLinePunct w:val="0"/>
        <w:spacing w:line="312" w:lineRule="auto"/>
        <w:ind w:firstLine="516" w:firstLineChars="200"/>
        <w:rPr>
          <w:rFonts w:hint="eastAsia" w:asciiTheme="majorEastAsia" w:hAnsiTheme="majorEastAsia" w:eastAsiaTheme="majorEastAsia" w:cstheme="majorEastAsia"/>
          <w:color w:val="auto"/>
          <w:spacing w:val="9"/>
          <w:kern w:val="0"/>
          <w:sz w:val="24"/>
          <w:szCs w:val="24"/>
        </w:rPr>
      </w:pPr>
      <w:r>
        <w:rPr>
          <w:rFonts w:hint="eastAsia" w:asciiTheme="majorEastAsia" w:hAnsiTheme="majorEastAsia" w:eastAsiaTheme="majorEastAsia" w:cstheme="majorEastAsia"/>
          <w:color w:val="auto"/>
          <w:spacing w:val="9"/>
          <w:kern w:val="0"/>
          <w:sz w:val="24"/>
          <w:szCs w:val="24"/>
        </w:rPr>
        <w:t>危险源风险等级划分以作业条件危险性大小D值作为标准，按</w:t>
      </w:r>
      <w:r>
        <w:rPr>
          <w:rFonts w:hint="eastAsia" w:asciiTheme="majorEastAsia" w:hAnsiTheme="majorEastAsia" w:eastAsiaTheme="majorEastAsia" w:cstheme="majorEastAsia"/>
          <w:color w:val="auto"/>
          <w:spacing w:val="9"/>
          <w:kern w:val="0"/>
          <w:sz w:val="24"/>
          <w:szCs w:val="24"/>
          <w:lang w:eastAsia="zh-CN"/>
        </w:rPr>
        <w:t>下</w:t>
      </w:r>
      <w:r>
        <w:rPr>
          <w:rFonts w:hint="eastAsia" w:asciiTheme="majorEastAsia" w:hAnsiTheme="majorEastAsia" w:eastAsiaTheme="majorEastAsia" w:cstheme="majorEastAsia"/>
          <w:color w:val="auto"/>
          <w:spacing w:val="9"/>
          <w:kern w:val="0"/>
          <w:sz w:val="24"/>
          <w:szCs w:val="24"/>
        </w:rPr>
        <w:t>表的规定确定。</w:t>
      </w:r>
    </w:p>
    <w:p>
      <w:pPr>
        <w:pageBreakBefore w:val="0"/>
        <w:widowControl/>
        <w:shd w:val="clear" w:color="auto" w:fill="FFFFFF"/>
        <w:kinsoku/>
        <w:overflowPunct/>
        <w:topLinePunct w:val="0"/>
        <w:spacing w:line="312" w:lineRule="auto"/>
        <w:ind w:firstLine="1328" w:firstLineChars="515"/>
        <w:rPr>
          <w:rFonts w:hint="eastAsia" w:asciiTheme="majorEastAsia" w:hAnsiTheme="majorEastAsia" w:eastAsiaTheme="majorEastAsia" w:cstheme="majorEastAsia"/>
          <w:b w:val="0"/>
          <w:bCs w:val="0"/>
          <w:color w:val="auto"/>
          <w:spacing w:val="9"/>
          <w:kern w:val="0"/>
          <w:sz w:val="24"/>
          <w:szCs w:val="24"/>
        </w:rPr>
      </w:pPr>
      <w:r>
        <w:rPr>
          <w:rFonts w:hint="eastAsia" w:asciiTheme="majorEastAsia" w:hAnsiTheme="majorEastAsia" w:eastAsiaTheme="majorEastAsia" w:cstheme="majorEastAsia"/>
          <w:b w:val="0"/>
          <w:bCs w:val="0"/>
          <w:color w:val="auto"/>
          <w:spacing w:val="9"/>
          <w:kern w:val="0"/>
          <w:sz w:val="24"/>
          <w:szCs w:val="24"/>
        </w:rPr>
        <w:t>表</w:t>
      </w:r>
      <w:r>
        <w:rPr>
          <w:rFonts w:hint="eastAsia" w:asciiTheme="majorEastAsia" w:hAnsiTheme="majorEastAsia" w:eastAsiaTheme="majorEastAsia" w:cstheme="majorEastAsia"/>
          <w:b w:val="0"/>
          <w:bCs w:val="0"/>
          <w:color w:val="auto"/>
          <w:spacing w:val="9"/>
          <w:kern w:val="0"/>
          <w:sz w:val="24"/>
          <w:szCs w:val="24"/>
          <w:lang w:val="en-US" w:eastAsia="zh-CN"/>
        </w:rPr>
        <w:t>3.4</w:t>
      </w:r>
      <w:r>
        <w:rPr>
          <w:rFonts w:hint="eastAsia" w:asciiTheme="majorEastAsia" w:hAnsiTheme="majorEastAsia" w:eastAsiaTheme="majorEastAsia" w:cstheme="majorEastAsia"/>
          <w:b w:val="0"/>
          <w:bCs w:val="0"/>
          <w:color w:val="auto"/>
          <w:spacing w:val="9"/>
          <w:kern w:val="0"/>
          <w:sz w:val="24"/>
          <w:szCs w:val="24"/>
        </w:rPr>
        <w:t>作业条件危险性评价法危险性等级划分标准</w:t>
      </w:r>
    </w:p>
    <w:tbl>
      <w:tblPr>
        <w:tblStyle w:val="16"/>
        <w:tblW w:w="8758" w:type="dxa"/>
        <w:tblInd w:w="0" w:type="dxa"/>
        <w:tblLayout w:type="autofit"/>
        <w:tblCellMar>
          <w:top w:w="0" w:type="dxa"/>
          <w:left w:w="0" w:type="dxa"/>
          <w:bottom w:w="0" w:type="dxa"/>
          <w:right w:w="0" w:type="dxa"/>
        </w:tblCellMar>
      </w:tblPr>
      <w:tblGrid>
        <w:gridCol w:w="1671"/>
        <w:gridCol w:w="2976"/>
        <w:gridCol w:w="4111"/>
      </w:tblGrid>
      <w:tr>
        <w:tblPrEx>
          <w:tblCellMar>
            <w:top w:w="0" w:type="dxa"/>
            <w:left w:w="0" w:type="dxa"/>
            <w:bottom w:w="0" w:type="dxa"/>
            <w:right w:w="0" w:type="dxa"/>
          </w:tblCellMar>
        </w:tblPrEx>
        <w:trPr>
          <w:trHeight w:val="495" w:hRule="atLeast"/>
        </w:trPr>
        <w:tc>
          <w:tcPr>
            <w:tcW w:w="1671"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D值区间</w:t>
            </w:r>
          </w:p>
        </w:tc>
        <w:tc>
          <w:tcPr>
            <w:tcW w:w="2976"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危险程度</w:t>
            </w:r>
          </w:p>
        </w:tc>
        <w:tc>
          <w:tcPr>
            <w:tcW w:w="4111"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风险等级</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D＞320</w:t>
            </w:r>
          </w:p>
        </w:tc>
        <w:tc>
          <w:tcPr>
            <w:tcW w:w="2976"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极其危险，不能继续作业</w:t>
            </w:r>
          </w:p>
        </w:tc>
        <w:tc>
          <w:tcPr>
            <w:tcW w:w="4111"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重大风险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320≥D＞160</w:t>
            </w:r>
          </w:p>
        </w:tc>
        <w:tc>
          <w:tcPr>
            <w:tcW w:w="2976"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高度危险，需立即整改</w:t>
            </w:r>
          </w:p>
        </w:tc>
        <w:tc>
          <w:tcPr>
            <w:tcW w:w="4111"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较大风险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160≥D＞70</w:t>
            </w:r>
          </w:p>
        </w:tc>
        <w:tc>
          <w:tcPr>
            <w:tcW w:w="2976"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一般危险（或显著危险），需要整改</w:t>
            </w:r>
          </w:p>
        </w:tc>
        <w:tc>
          <w:tcPr>
            <w:tcW w:w="4111"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一般风险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D≤70</w:t>
            </w:r>
          </w:p>
        </w:tc>
        <w:tc>
          <w:tcPr>
            <w:tcW w:w="2976"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稍有危险，需要注意（或可以接受）</w:t>
            </w:r>
          </w:p>
        </w:tc>
        <w:tc>
          <w:tcPr>
            <w:tcW w:w="4111"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低风险</w:t>
            </w:r>
          </w:p>
        </w:tc>
      </w:tr>
    </w:tbl>
    <w:p>
      <w:pPr>
        <w:pageBreakBefore w:val="0"/>
        <w:kinsoku/>
        <w:overflowPunct/>
        <w:topLinePunct w:val="0"/>
        <w:spacing w:line="312"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0"/>
        <w:rPr>
          <w:rFonts w:hint="eastAsia" w:asciiTheme="majorEastAsia" w:hAnsiTheme="majorEastAsia" w:eastAsiaTheme="majorEastAsia" w:cstheme="majorEastAsia"/>
          <w:sz w:val="24"/>
          <w:szCs w:val="24"/>
          <w:lang w:val="en-US" w:eastAsia="zh-CN"/>
        </w:rPr>
      </w:pPr>
      <w:bookmarkStart w:id="69" w:name="bookmark55"/>
      <w:bookmarkStart w:id="70" w:name="_Toc4171"/>
      <w:bookmarkStart w:id="71" w:name="_Toc30516"/>
      <w:bookmarkStart w:id="72" w:name="bookmark56"/>
      <w:bookmarkStart w:id="73" w:name="_Toc12707"/>
      <w:bookmarkStart w:id="74" w:name="bookmark57"/>
      <w:bookmarkStart w:id="75" w:name="_Toc13999"/>
      <w:r>
        <w:rPr>
          <w:rFonts w:hint="eastAsia" w:asciiTheme="majorEastAsia" w:hAnsiTheme="majorEastAsia" w:eastAsiaTheme="majorEastAsia" w:cstheme="majorEastAsia"/>
          <w:sz w:val="24"/>
          <w:szCs w:val="24"/>
          <w:lang w:val="en-US" w:eastAsia="zh-CN"/>
        </w:rPr>
        <w:t>四、辨识与评价</w:t>
      </w:r>
      <w:bookmarkEnd w:id="69"/>
      <w:bookmarkEnd w:id="70"/>
      <w:bookmarkEnd w:id="71"/>
      <w:bookmarkEnd w:id="72"/>
      <w:bookmarkEnd w:id="73"/>
      <w:bookmarkEnd w:id="74"/>
      <w:bookmarkEnd w:id="75"/>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76" w:name="_Toc12236"/>
      <w:bookmarkStart w:id="77" w:name="_Toc2895"/>
      <w:r>
        <w:rPr>
          <w:rFonts w:hint="eastAsia" w:asciiTheme="majorEastAsia" w:hAnsiTheme="majorEastAsia" w:eastAsiaTheme="majorEastAsia" w:cstheme="majorEastAsia"/>
          <w:spacing w:val="0"/>
          <w:w w:val="100"/>
          <w:kern w:val="2"/>
          <w:position w:val="0"/>
          <w:sz w:val="24"/>
          <w:szCs w:val="24"/>
          <w:shd w:val="clear"/>
          <w:lang w:val="en-US" w:eastAsia="en-US" w:bidi="ar-SA"/>
        </w:rPr>
        <w:t>4.1辨识与评价范围</w:t>
      </w:r>
      <w:bookmarkEnd w:id="76"/>
      <w:bookmarkEnd w:id="77"/>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水利水电工程施工危险源辨识与风险评价导则（试行）》（办监督函〔2018）1693号），结合工程实际情况，本次危险源辨识与评价从5个方面入手，分别为施工作业类、机械设备类、设施场所类、作业环境类和其他美。各个类的辨识与评价对象主要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78" w:name="bookmark58"/>
      <w:r>
        <w:rPr>
          <w:rFonts w:hint="eastAsia" w:asciiTheme="majorEastAsia" w:hAnsiTheme="majorEastAsia" w:eastAsiaTheme="majorEastAsia" w:cstheme="majorEastAsia"/>
          <w:spacing w:val="0"/>
          <w:w w:val="100"/>
          <w:kern w:val="2"/>
          <w:position w:val="0"/>
          <w:sz w:val="24"/>
          <w:szCs w:val="24"/>
          <w:shd w:val="clear"/>
          <w:lang w:val="en-US" w:eastAsia="en-US" w:bidi="ar-SA"/>
        </w:rPr>
        <w:t>（</w:t>
      </w:r>
      <w:bookmarkEnd w:id="78"/>
      <w:r>
        <w:rPr>
          <w:rFonts w:hint="eastAsia" w:asciiTheme="majorEastAsia" w:hAnsiTheme="majorEastAsia" w:eastAsiaTheme="majorEastAsia" w:cstheme="majorEastAsia"/>
          <w:spacing w:val="0"/>
          <w:w w:val="100"/>
          <w:kern w:val="2"/>
          <w:position w:val="0"/>
          <w:sz w:val="24"/>
          <w:szCs w:val="24"/>
          <w:shd w:val="clear"/>
          <w:lang w:val="en-US" w:eastAsia="en-US" w:bidi="ar-SA"/>
        </w:rPr>
        <w:t>1）施工作业类：包括明挖施工，填筑工程，砂石料生产，混凝土生产，混凝土浇筑，脚手架工程，模板工程及支撑体系，钢筋制安，建筑物拆除，降排水，水上（下）作业，有限空间作业，高空作业，管道安装，其他单项工程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79" w:name="bookmark59"/>
      <w:r>
        <w:rPr>
          <w:rFonts w:hint="eastAsia" w:asciiTheme="majorEastAsia" w:hAnsiTheme="majorEastAsia" w:eastAsiaTheme="majorEastAsia" w:cstheme="majorEastAsia"/>
          <w:spacing w:val="0"/>
          <w:w w:val="100"/>
          <w:kern w:val="2"/>
          <w:position w:val="0"/>
          <w:sz w:val="24"/>
          <w:szCs w:val="24"/>
          <w:shd w:val="clear"/>
          <w:lang w:val="en-US" w:eastAsia="en-US" w:bidi="ar-SA"/>
        </w:rPr>
        <w:t>（</w:t>
      </w:r>
      <w:bookmarkEnd w:id="79"/>
      <w:r>
        <w:rPr>
          <w:rFonts w:hint="eastAsia" w:asciiTheme="majorEastAsia" w:hAnsiTheme="majorEastAsia" w:eastAsiaTheme="majorEastAsia" w:cstheme="majorEastAsia"/>
          <w:spacing w:val="0"/>
          <w:w w:val="100"/>
          <w:kern w:val="2"/>
          <w:position w:val="0"/>
          <w:sz w:val="24"/>
          <w:szCs w:val="24"/>
          <w:shd w:val="clear"/>
          <w:lang w:val="en-US" w:eastAsia="en-US" w:bidi="ar-SA"/>
        </w:rPr>
        <w:t>2）机械设备类：包括运输车辆，特种设备，起重吊装及安裝拆卸等。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0" w:name="bookmark60"/>
      <w:r>
        <w:rPr>
          <w:rFonts w:hint="eastAsia" w:asciiTheme="majorEastAsia" w:hAnsiTheme="majorEastAsia" w:eastAsiaTheme="majorEastAsia" w:cstheme="majorEastAsia"/>
          <w:spacing w:val="0"/>
          <w:w w:val="100"/>
          <w:kern w:val="2"/>
          <w:position w:val="0"/>
          <w:sz w:val="24"/>
          <w:szCs w:val="24"/>
          <w:shd w:val="clear"/>
          <w:lang w:val="en-US" w:eastAsia="en-US" w:bidi="ar-SA"/>
        </w:rPr>
        <w:t>（</w:t>
      </w:r>
      <w:bookmarkEnd w:id="80"/>
      <w:r>
        <w:rPr>
          <w:rFonts w:hint="eastAsia" w:asciiTheme="majorEastAsia" w:hAnsiTheme="majorEastAsia" w:eastAsiaTheme="majorEastAsia" w:cstheme="majorEastAsia"/>
          <w:spacing w:val="0"/>
          <w:w w:val="100"/>
          <w:kern w:val="2"/>
          <w:position w:val="0"/>
          <w:sz w:val="24"/>
          <w:szCs w:val="24"/>
          <w:shd w:val="clear"/>
          <w:lang w:val="en-US" w:eastAsia="en-US" w:bidi="ar-SA"/>
        </w:rPr>
        <w:t>3）设施场所类：包括存弃渣场，基坑，油库油罐区，材料设备仓库，供水系统，通风系统，供电系统，修理厂、钢筋厂及模具加工厂等金属结构制作加工厂场所，预制构件场所，施工道路、桥梁，围堰等。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1" w:name="bookmark61"/>
      <w:r>
        <w:rPr>
          <w:rFonts w:hint="eastAsia" w:asciiTheme="majorEastAsia" w:hAnsiTheme="majorEastAsia" w:eastAsiaTheme="majorEastAsia" w:cstheme="majorEastAsia"/>
          <w:spacing w:val="0"/>
          <w:w w:val="100"/>
          <w:kern w:val="2"/>
          <w:position w:val="0"/>
          <w:sz w:val="24"/>
          <w:szCs w:val="24"/>
          <w:shd w:val="clear"/>
          <w:lang w:val="en-US" w:eastAsia="en-US" w:bidi="ar-SA"/>
        </w:rPr>
        <w:t>（</w:t>
      </w:r>
      <w:bookmarkEnd w:id="81"/>
      <w:r>
        <w:rPr>
          <w:rFonts w:hint="eastAsia" w:asciiTheme="majorEastAsia" w:hAnsiTheme="majorEastAsia" w:eastAsiaTheme="majorEastAsia" w:cstheme="majorEastAsia"/>
          <w:spacing w:val="0"/>
          <w:w w:val="100"/>
          <w:kern w:val="2"/>
          <w:position w:val="0"/>
          <w:sz w:val="24"/>
          <w:szCs w:val="24"/>
          <w:shd w:val="clear"/>
          <w:lang w:val="en-US" w:eastAsia="en-US" w:bidi="ar-SA"/>
        </w:rPr>
        <w:t>4）作业环境类：包括潜在滑坡区，超标准洪水，粉尘，环境等O</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2" w:name="bookmark62"/>
      <w:bookmarkStart w:id="83" w:name="_Toc29907"/>
      <w:bookmarkStart w:id="84" w:name="_Toc28986"/>
      <w:r>
        <w:rPr>
          <w:rFonts w:hint="eastAsia" w:asciiTheme="majorEastAsia" w:hAnsiTheme="majorEastAsia" w:eastAsiaTheme="majorEastAsia" w:cstheme="majorEastAsia"/>
          <w:spacing w:val="0"/>
          <w:w w:val="100"/>
          <w:kern w:val="2"/>
          <w:position w:val="0"/>
          <w:sz w:val="24"/>
          <w:szCs w:val="24"/>
          <w:shd w:val="clear"/>
          <w:lang w:val="en-US" w:eastAsia="en-US" w:bidi="ar-SA"/>
        </w:rPr>
        <w:t>（</w:t>
      </w:r>
      <w:bookmarkEnd w:id="82"/>
      <w:r>
        <w:rPr>
          <w:rFonts w:hint="eastAsia" w:asciiTheme="majorEastAsia" w:hAnsiTheme="majorEastAsia" w:eastAsiaTheme="majorEastAsia" w:cstheme="majorEastAsia"/>
          <w:spacing w:val="0"/>
          <w:w w:val="100"/>
          <w:kern w:val="2"/>
          <w:position w:val="0"/>
          <w:sz w:val="24"/>
          <w:szCs w:val="24"/>
          <w:shd w:val="clear"/>
          <w:lang w:val="en-US" w:eastAsia="en-US" w:bidi="ar-SA"/>
        </w:rPr>
        <w:t>5）其他类：包括野外施工，消防安全，营地选址等。</w:t>
      </w:r>
      <w:bookmarkEnd w:id="83"/>
      <w:bookmarkEnd w:id="84"/>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5" w:name="_Toc15"/>
      <w:bookmarkStart w:id="86" w:name="_Toc5447"/>
      <w:r>
        <w:rPr>
          <w:rFonts w:hint="eastAsia" w:asciiTheme="majorEastAsia" w:hAnsiTheme="majorEastAsia" w:eastAsiaTheme="majorEastAsia" w:cstheme="majorEastAsia"/>
          <w:spacing w:val="0"/>
          <w:w w:val="100"/>
          <w:kern w:val="2"/>
          <w:position w:val="0"/>
          <w:sz w:val="24"/>
          <w:szCs w:val="24"/>
          <w:shd w:val="clear"/>
          <w:lang w:val="en-US" w:eastAsia="en-US" w:bidi="ar-SA"/>
        </w:rPr>
        <w:t>4.2危险源辨识</w:t>
      </w:r>
      <w:bookmarkEnd w:id="85"/>
      <w:bookmarkEnd w:id="86"/>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7" w:name="_Toc4914"/>
      <w:r>
        <w:rPr>
          <w:rFonts w:hint="eastAsia" w:asciiTheme="majorEastAsia" w:hAnsiTheme="majorEastAsia" w:eastAsiaTheme="majorEastAsia" w:cstheme="majorEastAsia"/>
          <w:spacing w:val="0"/>
          <w:w w:val="100"/>
          <w:kern w:val="2"/>
          <w:position w:val="0"/>
          <w:sz w:val="24"/>
          <w:szCs w:val="24"/>
          <w:shd w:val="clear"/>
          <w:lang w:val="en-US" w:eastAsia="en-US" w:bidi="ar-SA"/>
        </w:rPr>
        <w:t>4.2.1危险源辨识过程</w:t>
      </w:r>
      <w:bookmarkEnd w:id="87"/>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根据《水利水电工程施工危险源辨识与风险评价导则（试行）（办监督函（2018）1693号），本次危险源辨识与评价从5个方面入手，分别为施工作业类、机械设备类、设施场所类、作业环境类和其他类。</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本次危险源辨识分为重大危险源辨识和一般危险源辨识，具体见表4.2-1和表4.2-20</w:t>
      </w: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4.2-1</w:t>
      </w:r>
      <w:r>
        <w:rPr>
          <w:rFonts w:hint="eastAsia" w:asciiTheme="majorEastAsia" w:hAnsiTheme="majorEastAsia" w:eastAsiaTheme="majorEastAsia" w:cstheme="majorEastAsia"/>
          <w:color w:val="auto"/>
          <w:spacing w:val="0"/>
          <w:w w:val="100"/>
          <w:position w:val="0"/>
          <w:sz w:val="24"/>
          <w:szCs w:val="24"/>
        </w:rPr>
        <w:t>重大危险源辨识表</w:t>
      </w:r>
    </w:p>
    <w:tbl>
      <w:tblPr>
        <w:tblStyle w:val="16"/>
        <w:tblW w:w="90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85" w:type="dxa"/>
          <w:bottom w:w="57" w:type="dxa"/>
          <w:right w:w="85" w:type="dxa"/>
        </w:tblCellMar>
      </w:tblPr>
      <w:tblGrid>
        <w:gridCol w:w="960"/>
        <w:gridCol w:w="993"/>
        <w:gridCol w:w="4244"/>
        <w:gridCol w:w="1950"/>
        <w:gridCol w:w="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tblHeader/>
          <w:jc w:val="center"/>
        </w:trPr>
        <w:tc>
          <w:tcPr>
            <w:tcW w:w="96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类别</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w:t>
            </w:r>
          </w:p>
        </w:tc>
        <w:tc>
          <w:tcPr>
            <w:tcW w:w="424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重大危险源说明</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工程实际情况</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施工作业类</w:t>
            </w: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明挖</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滑坡地段的开挖</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堆渣高度大于10m（含）的挖掘作业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土方边坡高度大于30m（含）或地质缺陷部位的开挖作业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石方边坡高度大于50m（含）或滑坡地段的开挖作业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洞挖</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断面大于20m</w:t>
            </w:r>
            <w:r>
              <w:rPr>
                <w:rFonts w:hint="eastAsia" w:asciiTheme="majorEastAsia" w:hAnsiTheme="majorEastAsia" w:eastAsiaTheme="majorEastAsia" w:cstheme="majorEastAsia"/>
                <w:kern w:val="0"/>
                <w:sz w:val="24"/>
                <w:szCs w:val="24"/>
                <w:vertAlign w:val="superscript"/>
              </w:rPr>
              <w:t>2</w:t>
            </w:r>
            <w:r>
              <w:rPr>
                <w:rFonts w:hint="eastAsia" w:asciiTheme="majorEastAsia" w:hAnsiTheme="majorEastAsia" w:eastAsiaTheme="majorEastAsia" w:cstheme="majorEastAsia"/>
                <w:kern w:val="0"/>
                <w:sz w:val="24"/>
                <w:szCs w:val="24"/>
              </w:rPr>
              <w:t>或单洞长度大于50m以及地质缺陷部位开挖；</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地应力大于20MPa或大于岩石强度的1/5或埋深大于500m部位的作业；</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洞室临近相互贯通时的作业；</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当某一工作面爆破作业时，相邻洞室的施工作业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不能及时支护的部位作业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隧洞进出口及交叉洞作业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地下水活动强烈地段开挖</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石方</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爆破</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一次装药量大于200kg（含）的爆破；雷雨天气的露天爆破作业；多作业面同时爆破</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895"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一次装药量大于50kg（含）的地下爆破</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斜井开挖的爆破作业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竖井开挖的爆破作业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临近边坡的地下开挖爆破作业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灌浆</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4244"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采用危险化学品进行化学灌浆</w:t>
            </w:r>
          </w:p>
        </w:tc>
        <w:tc>
          <w:tcPr>
            <w:tcW w:w="1950"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top w:val="single" w:color="auto" w:sz="12" w:space="0"/>
              <w:left w:val="nil"/>
              <w:bottom w:val="nil"/>
              <w:right w:val="nil"/>
            </w:tcBorders>
            <w:vAlign w:val="center"/>
          </w:tcPr>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rPr>
            </w:pPr>
          </w:p>
          <w:p>
            <w:pPr>
              <w:rPr>
                <w:rFonts w:hint="eastAsia" w:asciiTheme="majorEastAsia" w:hAnsiTheme="majorEastAsia" w:eastAsiaTheme="majorEastAsia" w:cstheme="majorEastAsia"/>
              </w:rPr>
            </w:pPr>
          </w:p>
        </w:tc>
        <w:tc>
          <w:tcPr>
            <w:tcW w:w="4244" w:type="dxa"/>
            <w:tcBorders>
              <w:top w:val="single" w:color="auto" w:sz="12" w:space="0"/>
              <w:left w:val="nil"/>
              <w:bottom w:val="nil"/>
              <w:right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p>
        </w:tc>
        <w:tc>
          <w:tcPr>
            <w:tcW w:w="1950"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45"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施工作业类</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斜井、</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竖井</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开挖</w:t>
            </w:r>
          </w:p>
        </w:tc>
        <w:tc>
          <w:tcPr>
            <w:tcW w:w="4244" w:type="dxa"/>
            <w:tcBorders>
              <w:top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提升系统行程大于20m（含）</w:t>
            </w:r>
          </w:p>
        </w:tc>
        <w:tc>
          <w:tcPr>
            <w:tcW w:w="1950"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大于20m（含）的沉井工程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混凝土生产</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制冷车间的液氨制冷系统</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脚手架</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搭设高度24m及以上的落地式钢管脚手架工程；附着式整体和分片提升脚手架工程；悬挑式脚手架工程；吊篮脚手架工程；新型及异型脚手架工程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模板工程及支撑体系</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滑模、爬模、飞模工程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搭设高度5m及以上；搭设跨度10m及以上；施工总荷载10kN/m</w:t>
            </w:r>
            <w:r>
              <w:rPr>
                <w:rFonts w:hint="eastAsia" w:asciiTheme="majorEastAsia" w:hAnsiTheme="majorEastAsia" w:eastAsiaTheme="majorEastAsia" w:cstheme="majorEastAsia"/>
                <w:kern w:val="0"/>
                <w:sz w:val="24"/>
                <w:szCs w:val="24"/>
                <w:vertAlign w:val="superscript"/>
              </w:rPr>
              <w:t>2</w:t>
            </w:r>
            <w:r>
              <w:rPr>
                <w:rFonts w:hint="eastAsia" w:asciiTheme="majorEastAsia" w:hAnsiTheme="majorEastAsia" w:eastAsiaTheme="majorEastAsia" w:cstheme="majorEastAsia"/>
                <w:kern w:val="0"/>
                <w:sz w:val="24"/>
                <w:szCs w:val="24"/>
              </w:rPr>
              <w:t>及以上；集中线荷载15kN/m及以上</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用于钢结构安装等满堂支撑体系</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采用非常规起重设备、方法，且单件起吊重量在10kN及以上的起重吊装工程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使用易爆、有毒和易腐蚀的危险化学品进行作业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建筑物拆除</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采取机械拆除，拆除高度大于10m；可能影响行人、交通、电力设施、通讯设施或其他建、构筑物安全的拆除作业；文物保护建筑、优秀历史建筑或历史文化风貌区控制范围的拆除作业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围堰拆除作业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爆破拆除作业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降排水</w:t>
            </w:r>
          </w:p>
        </w:tc>
        <w:tc>
          <w:tcPr>
            <w:tcW w:w="4244"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降排水工程</w:t>
            </w:r>
          </w:p>
        </w:tc>
        <w:tc>
          <w:tcPr>
            <w:tcW w:w="1950"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945"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tc>
        <w:tc>
          <w:tcPr>
            <w:tcW w:w="4244" w:type="dxa"/>
            <w:tcBorders>
              <w:top w:val="single" w:color="auto" w:sz="12" w:space="0"/>
              <w:left w:val="nil"/>
              <w:bottom w:val="nil"/>
              <w:right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p>
        </w:tc>
        <w:tc>
          <w:tcPr>
            <w:tcW w:w="1950"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45"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机械设备类</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起重吊装及安装拆卸</w:t>
            </w:r>
          </w:p>
        </w:tc>
        <w:tc>
          <w:tcPr>
            <w:tcW w:w="4244" w:type="dxa"/>
            <w:tcBorders>
              <w:top w:val="nil"/>
            </w:tcBorders>
            <w:vAlign w:val="center"/>
          </w:tcPr>
          <w:p>
            <w:pPr>
              <w:pageBreakBefore w:val="0"/>
              <w:kinsoku/>
              <w:overflowPunct/>
              <w:topLinePunct w:val="0"/>
              <w:spacing w:line="312" w:lineRule="auto"/>
              <w:ind w:left="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采用非常规起重设备、方法，且单件起吊重量在</w:t>
            </w:r>
            <w:r>
              <w:rPr>
                <w:rFonts w:hint="eastAsia" w:asciiTheme="majorEastAsia" w:hAnsiTheme="majorEastAsia" w:eastAsiaTheme="majorEastAsia" w:cstheme="majorEastAsia"/>
                <w:kern w:val="0"/>
                <w:sz w:val="24"/>
                <w:szCs w:val="24"/>
              </w:rPr>
              <w:t>10kN</w:t>
            </w:r>
            <w:r>
              <w:rPr>
                <w:rFonts w:hint="eastAsia" w:asciiTheme="majorEastAsia" w:hAnsiTheme="majorEastAsia" w:eastAsiaTheme="majorEastAsia" w:cstheme="majorEastAsia"/>
                <w:sz w:val="24"/>
                <w:szCs w:val="24"/>
              </w:rPr>
              <w:t>及以上的起重吊装工程</w:t>
            </w:r>
          </w:p>
        </w:tc>
        <w:tc>
          <w:tcPr>
            <w:tcW w:w="1950"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945"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采用起重机械进行安装的工程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涉及此类工程</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构成重大危险源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起重机械设备自身的安装</w:t>
            </w:r>
            <w:r>
              <w:rPr>
                <w:rFonts w:hint="eastAsia" w:asciiTheme="majorEastAsia" w:hAnsiTheme="majorEastAsia" w:eastAsiaTheme="majorEastAsia" w:cstheme="majorEastAsia"/>
                <w:sz w:val="24"/>
                <w:szCs w:val="24"/>
              </w:rPr>
              <w:drawing>
                <wp:inline distT="0" distB="0" distL="0" distR="0">
                  <wp:extent cx="40005" cy="31750"/>
                  <wp:effectExtent l="0" t="0" r="1714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6" cstate="print"/>
                          <a:srcRect/>
                          <a:stretch>
                            <a:fillRect/>
                          </a:stretch>
                        </pic:blipFill>
                        <pic:spPr>
                          <a:xfrm>
                            <a:off x="0" y="0"/>
                            <a:ext cx="40005" cy="3175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sz w:val="24"/>
                <w:szCs w:val="24"/>
              </w:rPr>
              <w:t>拆卸作业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776"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设施场所类</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存弃</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渣场</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弃渣堆下方有生活区或办公区</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1569"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基坑</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开挖深度超过5m（含）的深基坑作业，或开挖深度虽未超过5m，但地质条件、周围环境和地下管线复杂，或影响毗邻建筑（构筑）物安全的深基坑作业</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auto"/>
                <w:spacing w:val="0"/>
                <w:w w:val="100"/>
                <w:position w:val="0"/>
                <w:sz w:val="24"/>
                <w:szCs w:val="24"/>
                <w:lang w:eastAsia="zh-CN"/>
              </w:rPr>
              <w:t>闸</w:t>
            </w:r>
            <w:r>
              <w:rPr>
                <w:rFonts w:hint="eastAsia" w:asciiTheme="majorEastAsia" w:hAnsiTheme="majorEastAsia" w:eastAsiaTheme="majorEastAsia" w:cstheme="majorEastAsia"/>
                <w:color w:val="auto"/>
                <w:spacing w:val="0"/>
                <w:w w:val="100"/>
                <w:position w:val="0"/>
                <w:sz w:val="24"/>
                <w:szCs w:val="24"/>
                <w:lang w:val="en-US" w:eastAsia="zh-CN"/>
              </w:rPr>
              <w:t>室段土方</w:t>
            </w:r>
            <w:r>
              <w:rPr>
                <w:rFonts w:hint="eastAsia" w:asciiTheme="majorEastAsia" w:hAnsiTheme="majorEastAsia" w:eastAsiaTheme="majorEastAsia" w:cstheme="majorEastAsia"/>
                <w:color w:val="auto"/>
                <w:spacing w:val="0"/>
                <w:w w:val="100"/>
                <w:position w:val="0"/>
                <w:sz w:val="24"/>
                <w:szCs w:val="24"/>
                <w:lang w:eastAsia="zh-CN"/>
              </w:rPr>
              <w:t>开挖</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构成重大危险源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680"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油库</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油罐区</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参照《危险化学品重大危险源辨识》(GB18218-2009)标准</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680"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材料设备仓库</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参照《危险化学品重大危险源辨识》(GB18218-2009)标准</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供电</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临时用电工程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用电设备超过5台的临时用电工程</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构成重大危险源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隧洞</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浅埋隧洞</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94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作业环境类</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超标准洪水、</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粉尘</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超标准洪水</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818"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有毒有害气体及有毒化学品泄漏</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环境</w:t>
            </w: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参照《危险化学品重大危险源辨识》(GB18218)标准</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参照《危险化学品重大危险源辨识》(GB18218)标准</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w:t>
            </w: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营地</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选址</w:t>
            </w:r>
          </w:p>
        </w:tc>
        <w:tc>
          <w:tcPr>
            <w:tcW w:w="4244"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施工驻地及场站设置在可能发生滑坡、塌方、泥石流、崩塌、落石、洪水、雪崩等的危险区域</w:t>
            </w:r>
          </w:p>
        </w:tc>
        <w:tc>
          <w:tcPr>
            <w:tcW w:w="1950"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不涉及此类区域</w:t>
            </w:r>
          </w:p>
        </w:tc>
        <w:tc>
          <w:tcPr>
            <w:tcW w:w="945" w:type="dxa"/>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其他单项工程</w:t>
            </w:r>
          </w:p>
        </w:tc>
        <w:tc>
          <w:tcPr>
            <w:tcW w:w="4244" w:type="dxa"/>
            <w:tcBorders>
              <w:top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采用新技术、新工艺、新材料、新设备的危险性较大的单项工程</w:t>
            </w:r>
          </w:p>
        </w:tc>
        <w:tc>
          <w:tcPr>
            <w:tcW w:w="1950"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945"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424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尚无相关技术标准的危险性较大的单项工程</w:t>
            </w:r>
          </w:p>
        </w:tc>
        <w:tc>
          <w:tcPr>
            <w:tcW w:w="195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945"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bl>
    <w:p>
      <w:pPr>
        <w:pStyle w:val="22"/>
        <w:keepNext w:val="0"/>
        <w:keepLines w:val="0"/>
        <w:pageBreakBefore w:val="0"/>
        <w:widowControl w:val="0"/>
        <w:shd w:val="clear" w:color="auto" w:fill="auto"/>
        <w:kinsoku/>
        <w:overflowPunct/>
        <w:topLinePunct w:val="0"/>
        <w:bidi w:val="0"/>
        <w:spacing w:before="0" w:after="100" w:line="312" w:lineRule="auto"/>
        <w:ind w:left="0" w:right="0" w:firstLine="0"/>
        <w:jc w:val="center"/>
        <w:rPr>
          <w:rFonts w:hint="eastAsia" w:asciiTheme="majorEastAsia" w:hAnsiTheme="majorEastAsia" w:eastAsiaTheme="majorEastAsia" w:cstheme="majorEastAsia"/>
          <w:color w:val="auto"/>
          <w:sz w:val="24"/>
          <w:szCs w:val="24"/>
        </w:rPr>
      </w:pP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一般危险源辨识表</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728"/>
        <w:gridCol w:w="1069"/>
        <w:gridCol w:w="3264"/>
        <w:gridCol w:w="2693"/>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类别</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项目</w:t>
            </w:r>
          </w:p>
        </w:tc>
        <w:tc>
          <w:tcPr>
            <w:tcW w:w="3264"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一般危险源说明</w:t>
            </w:r>
          </w:p>
        </w:tc>
        <w:tc>
          <w:tcPr>
            <w:tcW w:w="2693" w:type="dxa"/>
            <w:vMerge w:val="restart"/>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工程实际情况</w:t>
            </w:r>
          </w:p>
        </w:tc>
        <w:tc>
          <w:tcPr>
            <w:tcW w:w="131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12" w:hRule="atLeast"/>
          <w:tblHeader/>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c>
          <w:tcPr>
            <w:tcW w:w="3264" w:type="dxa"/>
            <w:vMerge w:val="continue"/>
            <w:vAlign w:val="center"/>
          </w:tcPr>
          <w:p>
            <w:pPr>
              <w:pageBreakBefore w:val="0"/>
              <w:kinsoku/>
              <w:overflowPunct/>
              <w:topLinePunct w:val="0"/>
              <w:spacing w:line="312" w:lineRule="auto"/>
              <w:rPr>
                <w:rFonts w:hint="eastAsia" w:asciiTheme="majorEastAsia" w:hAnsiTheme="majorEastAsia" w:eastAsiaTheme="majorEastAsia" w:cstheme="majorEastAsia"/>
                <w:b/>
                <w:sz w:val="24"/>
                <w:szCs w:val="24"/>
              </w:rPr>
            </w:pPr>
          </w:p>
        </w:tc>
        <w:tc>
          <w:tcPr>
            <w:tcW w:w="2693" w:type="dxa"/>
            <w:vMerge w:val="continue"/>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b/>
                <w:sz w:val="24"/>
                <w:szCs w:val="24"/>
              </w:rPr>
            </w:pPr>
          </w:p>
        </w:tc>
        <w:tc>
          <w:tcPr>
            <w:tcW w:w="131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明挖施工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堆渣高度小于10m的挖掘作业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土方边坡高度小于30m的开挖作业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石方边坡高度小于50m的开挖作业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洞挖施工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Style w:val="25"/>
                <w:rFonts w:hint="eastAsia" w:asciiTheme="majorEastAsia" w:hAnsiTheme="majorEastAsia" w:eastAsiaTheme="majorEastAsia" w:cstheme="majorEastAsia"/>
                <w:sz w:val="24"/>
                <w:szCs w:val="24"/>
              </w:rPr>
              <w:t>断面小于20m</w:t>
            </w:r>
            <w:r>
              <w:rPr>
                <w:rStyle w:val="26"/>
                <w:rFonts w:hint="eastAsia" w:asciiTheme="majorEastAsia" w:hAnsiTheme="majorEastAsia" w:eastAsiaTheme="majorEastAsia" w:cstheme="majorEastAsia"/>
                <w:sz w:val="24"/>
                <w:szCs w:val="24"/>
              </w:rPr>
              <w:t>2</w:t>
            </w:r>
            <w:r>
              <w:rPr>
                <w:rStyle w:val="25"/>
                <w:rFonts w:hint="eastAsia" w:asciiTheme="majorEastAsia" w:hAnsiTheme="majorEastAsia" w:eastAsiaTheme="majorEastAsia" w:cstheme="majorEastAsia"/>
                <w:sz w:val="24"/>
                <w:szCs w:val="24"/>
              </w:rPr>
              <w:t>或单洞长度小于50m以及非地质缺陷开挖；地应力小于20MPa或小于岩石强度的1/5或埋深小于500m部位的作业；</w:t>
            </w:r>
            <w:r>
              <w:rPr>
                <w:rFonts w:hint="eastAsia" w:asciiTheme="majorEastAsia" w:hAnsiTheme="majorEastAsia" w:eastAsiaTheme="majorEastAsia" w:cstheme="majorEastAsia"/>
                <w:kern w:val="0"/>
                <w:sz w:val="24"/>
                <w:szCs w:val="24"/>
              </w:rPr>
              <w:t>非重大风险源所列内容的普通洞挖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不涉及洞室开挖</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能及时支护的部位</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不涉及洞室支护</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石方</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爆破</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一次装药量小于200kg的爆破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不涉及石方明挖的爆破作业</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一次装药量小于50kg的地下爆破；非重大风险源所列内容的普通爆破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不涉及石方洞挖的爆破作业</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填筑</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截流工程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堤防工程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不涉及堤防工程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大坝工程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不涉及大坝工程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灌浆</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非采用危险化学品进行化学灌浆，廊道内灌浆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不涉及采用危险化学品进行化学灌浆；廊道内灌浆</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灌注桩施工，旋挖桩施工，防渗墙施工</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不涉及灌注桩施工，旋挖桩施工，防渗墙施工</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斜井、竖井开挖</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井筒衬砌</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不涉及井筒衬砌部分</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提升系统行程小于20m</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不涉及竖井提升设施</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斜井开挖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不涉及斜井开挖</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斜井、竖井开挖</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竖井开挖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不涉及竖井开挖</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小于20m的沉井工程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不涉及沉井工程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天锚或地锚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不涉及天锚或地锚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砂石料生产</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砂石料破碎机</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不涉及砂石料破碎机</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混凝土生产</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混凝土拌合楼（系统）</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不涉及混凝土拌合楼（系统）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混凝土浇筑</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利用缆机、塔带机或门机浇筑</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不涉及利用缆机、塔带机或门机浇筑</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浇筑</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脚手架工程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搭设高度24m以下的落地式钢管脚手架工程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自制卸料平台、移动操作平台工程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不涉及自制卸料平台、移动操作平台工程</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模板</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模板拆除</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搭设高度5m以下；搭设跨度10m以下；施工总荷载10kN/m以下；集中线荷载15kN/m以下；其他非重大风险源所列内容的普通模板</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钢筋</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焊接</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涉及钢筋焊接</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金属结构制造</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不涉及金属结构制造</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tcBorders>
              <w:bottom w:val="single" w:color="auto" w:sz="12" w:space="0"/>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采用常规起重设备、方法，或单件起吊重量在10kN以下的起重吊装工程</w:t>
            </w:r>
          </w:p>
        </w:tc>
        <w:tc>
          <w:tcPr>
            <w:tcW w:w="2693" w:type="dxa"/>
            <w:tcBorders>
              <w:bottom w:val="single" w:color="auto" w:sz="12" w:space="0"/>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不</w:t>
            </w:r>
            <w:r>
              <w:rPr>
                <w:rFonts w:hint="eastAsia" w:asciiTheme="majorEastAsia" w:hAnsiTheme="majorEastAsia" w:eastAsiaTheme="majorEastAsia" w:cstheme="majorEastAsia"/>
                <w:kern w:val="0"/>
                <w:sz w:val="24"/>
                <w:szCs w:val="24"/>
              </w:rPr>
              <w:t>涉及金属结构安装及机电设备安装</w:t>
            </w:r>
          </w:p>
        </w:tc>
        <w:tc>
          <w:tcPr>
            <w:tcW w:w="1318" w:type="dxa"/>
            <w:tcBorders>
              <w:bottom w:val="single" w:color="auto" w:sz="12" w:space="0"/>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rPr>
            </w:pPr>
          </w:p>
          <w:p>
            <w:pPr>
              <w:pStyle w:val="2"/>
              <w:rPr>
                <w:rFonts w:hint="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tc>
        <w:tc>
          <w:tcPr>
            <w:tcW w:w="3264" w:type="dxa"/>
            <w:tcBorders>
              <w:top w:val="single" w:color="auto" w:sz="12" w:space="0"/>
              <w:left w:val="nil"/>
              <w:bottom w:val="nil"/>
              <w:right w:val="nil"/>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p>
        </w:tc>
        <w:tc>
          <w:tcPr>
            <w:tcW w:w="2693" w:type="dxa"/>
            <w:tcBorders>
              <w:top w:val="single" w:color="auto" w:sz="12" w:space="0"/>
              <w:left w:val="nil"/>
              <w:bottom w:val="nil"/>
              <w:right w:val="nil"/>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kern w:val="0"/>
                <w:sz w:val="24"/>
                <w:szCs w:val="24"/>
              </w:rPr>
            </w:pPr>
          </w:p>
        </w:tc>
        <w:tc>
          <w:tcPr>
            <w:tcW w:w="1318" w:type="dxa"/>
            <w:tcBorders>
              <w:top w:val="single" w:color="auto" w:sz="12" w:space="0"/>
              <w:left w:val="nil"/>
              <w:bottom w:val="nil"/>
              <w:right w:val="nil"/>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tcBorders>
              <w:top w:val="nil"/>
            </w:tcBorders>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3264" w:type="dxa"/>
            <w:tcBorders>
              <w:top w:val="nil"/>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采用常规起重设备、方法，或单件起吊重量在10kN以下的起重吊装工程</w:t>
            </w:r>
          </w:p>
        </w:tc>
        <w:tc>
          <w:tcPr>
            <w:tcW w:w="2693" w:type="dxa"/>
            <w:tcBorders>
              <w:top w:val="nil"/>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不涉及水轮机及发电机安装</w:t>
            </w:r>
          </w:p>
        </w:tc>
        <w:tc>
          <w:tcPr>
            <w:tcW w:w="1318" w:type="dxa"/>
            <w:tcBorders>
              <w:top w:val="nil"/>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高空作业及上下交叉作业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不</w:t>
            </w:r>
            <w:r>
              <w:rPr>
                <w:rFonts w:hint="eastAsia" w:asciiTheme="majorEastAsia" w:hAnsiTheme="majorEastAsia" w:eastAsiaTheme="majorEastAsia" w:cstheme="majorEastAsia"/>
                <w:kern w:val="0"/>
                <w:sz w:val="24"/>
                <w:szCs w:val="24"/>
              </w:rPr>
              <w:t>涉及高空作业及上下交叉作业</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建筑物拆除</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采取机械拆除，拆除高度小于10m；其他非重大风险源所列内容的一般建筑物拆除</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不涉及一般建筑物拆除</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9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配套电网工程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组立或整修杆塔</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不涉及组立或整修杆塔</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电线杆</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降排水</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降排水期间影响范围内的建筑物</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不涉及降排水期间影响范围内的建筑物</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196"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降水井</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不涉及基坑内降水井</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水上（下）作业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工程船舶改造、船舶与陆用设备组合作业</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不涉及工程船舶改造、船舶与陆用设备组合作业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水下焊接、爆破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不涉及水下焊接、爆破</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潜水作业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不涉及潜水作业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有限空间作业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顶管作业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不涉及顶管作业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人工挖孔桩</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不涉及人工挖孔桩</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管道</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安装</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管道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不涉及管道需安装</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机械</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设备类</w:t>
            </w:r>
          </w:p>
        </w:tc>
        <w:tc>
          <w:tcPr>
            <w:tcW w:w="106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运输</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车辆</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运输车辆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涉及场内自卸运输车辆</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特种</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设备</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大型施工机械的安装、运行及拆卸</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不涉及大型施工机械的安装、运行及拆卸</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压力容器</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不涉及压力容器</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锅炉</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不涉及锅炉</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起重设备安装、拆卸及吊装作业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采用常规起重设备、方法，且单件起吊重量在10kN以下的起重吊装工程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不涉及起重机械设备自身的安装、拆卸作业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设施</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场所类</w:t>
            </w: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存弃</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渣场</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普通弃渣堆，下方无人作业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不</w:t>
            </w:r>
            <w:r>
              <w:rPr>
                <w:rFonts w:hint="eastAsia" w:asciiTheme="majorEastAsia" w:hAnsiTheme="majorEastAsia" w:eastAsiaTheme="majorEastAsia" w:cstheme="majorEastAsia"/>
                <w:kern w:val="0"/>
                <w:sz w:val="24"/>
                <w:szCs w:val="24"/>
              </w:rPr>
              <w:t>涉及临时普通弃渣堆</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基坑</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开挖深度未超过5m的普通作业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油库、油罐</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储存量低于临界量的汽油、柴油等</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不涉及汽油、柴油等油品储存区</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危险化学品仓库</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储存量低于临界量的乙炔等危险化学品</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不涉及乙炔等危险化学品储存区</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供水</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输水主干管</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利用液氯进行消毒和用盐酸进行污水处理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不涉及利用液氯进行消毒和用盐酸进行污水处理</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高位水池</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不涉及高位水池</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通风</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空压机房、供风管路等设施</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不涉及空压机房、供风管路等设施</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储气罐</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不涉及储气罐</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供电</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变压器</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涉及变压器</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变电站</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不涉及变电站</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高压电缆或高压线</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涉及高压电缆或高压线</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修理厂、</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钢筋厂、</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模具厂等</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加工机械</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不</w:t>
            </w:r>
            <w:r>
              <w:rPr>
                <w:rFonts w:hint="eastAsia" w:asciiTheme="majorEastAsia" w:hAnsiTheme="majorEastAsia" w:eastAsiaTheme="majorEastAsia" w:cstheme="majorEastAsia"/>
                <w:kern w:val="0"/>
                <w:sz w:val="24"/>
                <w:szCs w:val="24"/>
              </w:rPr>
              <w:t>涉及钢筋、模板加工机械</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预制构件场所</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预制构件制作</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涉及预制构件制作</w:t>
            </w:r>
          </w:p>
        </w:tc>
        <w:tc>
          <w:tcPr>
            <w:tcW w:w="1318" w:type="dxa"/>
            <w:vAlign w:val="center"/>
          </w:tcPr>
          <w:p>
            <w:pPr>
              <w:pageBreakBefore w:val="0"/>
              <w:kinsoku/>
              <w:overflowPunct/>
              <w:topLinePunct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施工道路、桥梁</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车辆</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涉及渣土运输车辆</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隧洞</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甲烷</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不涉及甲烷</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有毒气体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不涉及有毒气体</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作业</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环境类</w:t>
            </w: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不良地质地段</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不良地质地段</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不涉及不良地质地段</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潜在滑坡区</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潜在滑坡区</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不涉及潜在滑坡区</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粉尘</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不涉及</w:t>
            </w:r>
            <w:r>
              <w:rPr>
                <w:rFonts w:hint="eastAsia" w:asciiTheme="majorEastAsia" w:hAnsiTheme="majorEastAsia" w:eastAsiaTheme="majorEastAsia" w:cstheme="majorEastAsia"/>
                <w:kern w:val="0"/>
                <w:sz w:val="24"/>
                <w:szCs w:val="24"/>
              </w:rPr>
              <w:t>施工场所涉及粉尘</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野外有毒有害气体及有毒化学品</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泄漏环境</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野外有毒有害气体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不涉及野外有毒有害气体</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危险化学品</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不涉及危险化学品</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具有危险性的动、植物</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具有危险性的动、植物</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不涉及具有危险性的动、植物</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其他</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高压线或不明管道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不涉及高压线或不明管道</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施工过程使用的临时、永久道路，桥梁、隧洞</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施工期地质勘探</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不涉及施工期地质勘探</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消防</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安全</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可燃物的堆放与使用</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生活区用电、明火</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生活区用电、明火</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构成一般危险源</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8" w:name="_Toc9649"/>
      <w:r>
        <w:rPr>
          <w:rFonts w:hint="eastAsia" w:asciiTheme="majorEastAsia" w:hAnsiTheme="majorEastAsia" w:eastAsiaTheme="majorEastAsia" w:cstheme="majorEastAsia"/>
          <w:spacing w:val="0"/>
          <w:w w:val="100"/>
          <w:kern w:val="2"/>
          <w:position w:val="0"/>
          <w:sz w:val="24"/>
          <w:szCs w:val="24"/>
          <w:shd w:val="clear"/>
          <w:lang w:val="en-US" w:eastAsia="en-US" w:bidi="ar-SA"/>
        </w:rPr>
        <w:t>4.2.2危险源辨识结果</w:t>
      </w:r>
      <w:bookmarkEnd w:id="8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根据表</w:t>
      </w:r>
      <w:r>
        <w:rPr>
          <w:rFonts w:hint="eastAsia" w:asciiTheme="majorEastAsia" w:hAnsiTheme="majorEastAsia" w:eastAsiaTheme="majorEastAsia" w:cstheme="majorEastAsia"/>
          <w:spacing w:val="0"/>
          <w:w w:val="100"/>
          <w:kern w:val="2"/>
          <w:position w:val="0"/>
          <w:sz w:val="24"/>
          <w:szCs w:val="24"/>
          <w:shd w:val="clear"/>
          <w:lang w:val="en-US" w:eastAsia="zh-CN" w:bidi="ar-SA"/>
        </w:rPr>
        <w:t>4.21重大</w:t>
      </w:r>
      <w:r>
        <w:rPr>
          <w:rFonts w:hint="eastAsia" w:asciiTheme="majorEastAsia" w:hAnsiTheme="majorEastAsia" w:eastAsiaTheme="majorEastAsia" w:cstheme="majorEastAsia"/>
          <w:spacing w:val="0"/>
          <w:w w:val="100"/>
          <w:kern w:val="2"/>
          <w:position w:val="0"/>
          <w:sz w:val="24"/>
          <w:szCs w:val="24"/>
          <w:shd w:val="clear"/>
          <w:lang w:val="en-US" w:eastAsia="en-US" w:bidi="ar-SA"/>
        </w:rPr>
        <w:t>危险源辨识可知河南省“十四五”人民胜利渠灌区续建配套与现代化改造项目2022年度工程施工III标</w:t>
      </w:r>
      <w:r>
        <w:rPr>
          <w:rFonts w:hint="eastAsia" w:asciiTheme="majorEastAsia" w:hAnsiTheme="majorEastAsia" w:eastAsiaTheme="majorEastAsia" w:cstheme="majorEastAsia"/>
          <w:spacing w:val="0"/>
          <w:w w:val="100"/>
          <w:kern w:val="2"/>
          <w:position w:val="0"/>
          <w:sz w:val="24"/>
          <w:szCs w:val="24"/>
          <w:shd w:val="clear"/>
          <w:lang w:val="en-US" w:eastAsia="zh-CN" w:bidi="ar-SA"/>
        </w:rPr>
        <w:t>项目涉</w:t>
      </w:r>
      <w:r>
        <w:rPr>
          <w:rFonts w:hint="eastAsia" w:asciiTheme="majorEastAsia" w:hAnsiTheme="majorEastAsia" w:eastAsiaTheme="majorEastAsia" w:cstheme="majorEastAsia"/>
          <w:spacing w:val="0"/>
          <w:w w:val="100"/>
          <w:kern w:val="2"/>
          <w:position w:val="0"/>
          <w:sz w:val="24"/>
          <w:szCs w:val="24"/>
          <w:shd w:val="clear"/>
          <w:lang w:val="en-US" w:eastAsia="en-US" w:bidi="ar-SA"/>
        </w:rPr>
        <w:t>及</w:t>
      </w:r>
      <w:r>
        <w:rPr>
          <w:rFonts w:hint="eastAsia" w:asciiTheme="majorEastAsia" w:hAnsiTheme="majorEastAsia" w:eastAsiaTheme="majorEastAsia" w:cstheme="majorEastAsia"/>
          <w:spacing w:val="0"/>
          <w:w w:val="100"/>
          <w:kern w:val="2"/>
          <w:position w:val="0"/>
          <w:sz w:val="24"/>
          <w:szCs w:val="24"/>
          <w:shd w:val="clear"/>
          <w:lang w:val="en-US" w:eastAsia="zh-CN" w:bidi="ar-SA"/>
        </w:rPr>
        <w:t>重大</w:t>
      </w:r>
      <w:r>
        <w:rPr>
          <w:rFonts w:hint="eastAsia" w:asciiTheme="majorEastAsia" w:hAnsiTheme="majorEastAsia" w:eastAsiaTheme="majorEastAsia" w:cstheme="majorEastAsia"/>
          <w:spacing w:val="0"/>
          <w:w w:val="100"/>
          <w:kern w:val="2"/>
          <w:position w:val="0"/>
          <w:sz w:val="24"/>
          <w:szCs w:val="24"/>
          <w:shd w:val="clear"/>
          <w:lang w:val="en-US" w:eastAsia="en-US" w:bidi="ar-SA"/>
        </w:rPr>
        <w:t>危险源</w:t>
      </w:r>
      <w:r>
        <w:rPr>
          <w:rFonts w:hint="eastAsia" w:asciiTheme="majorEastAsia" w:hAnsiTheme="majorEastAsia" w:eastAsiaTheme="majorEastAsia" w:cstheme="majorEastAsia"/>
          <w:spacing w:val="0"/>
          <w:w w:val="100"/>
          <w:kern w:val="2"/>
          <w:position w:val="0"/>
          <w:sz w:val="24"/>
          <w:szCs w:val="24"/>
          <w:shd w:val="clear"/>
          <w:lang w:val="en-US" w:eastAsia="zh-CN" w:bidi="ar-SA"/>
        </w:rPr>
        <w:t>3</w:t>
      </w:r>
      <w:r>
        <w:rPr>
          <w:rFonts w:hint="eastAsia" w:asciiTheme="majorEastAsia" w:hAnsiTheme="majorEastAsia" w:eastAsiaTheme="majorEastAsia" w:cstheme="majorEastAsia"/>
          <w:spacing w:val="0"/>
          <w:w w:val="100"/>
          <w:kern w:val="2"/>
          <w:position w:val="0"/>
          <w:sz w:val="24"/>
          <w:szCs w:val="24"/>
          <w:shd w:val="clear"/>
          <w:lang w:val="en-US" w:eastAsia="en-US" w:bidi="ar-SA"/>
        </w:rPr>
        <w:t>项，其中机械设备类1项，设施场所类</w:t>
      </w:r>
      <w:r>
        <w:rPr>
          <w:rFonts w:hint="eastAsia" w:asciiTheme="majorEastAsia" w:hAnsiTheme="majorEastAsia" w:eastAsiaTheme="majorEastAsia" w:cstheme="majorEastAsia"/>
          <w:spacing w:val="0"/>
          <w:w w:val="100"/>
          <w:kern w:val="2"/>
          <w:position w:val="0"/>
          <w:sz w:val="24"/>
          <w:szCs w:val="24"/>
          <w:shd w:val="clear"/>
          <w:lang w:val="en-US" w:eastAsia="zh-CN" w:bidi="ar-SA"/>
        </w:rPr>
        <w:t>2</w:t>
      </w:r>
      <w:r>
        <w:rPr>
          <w:rFonts w:hint="eastAsia" w:asciiTheme="majorEastAsia" w:hAnsiTheme="majorEastAsia" w:eastAsiaTheme="majorEastAsia" w:cstheme="majorEastAsia"/>
          <w:spacing w:val="0"/>
          <w:w w:val="100"/>
          <w:kern w:val="2"/>
          <w:position w:val="0"/>
          <w:sz w:val="24"/>
          <w:szCs w:val="24"/>
          <w:shd w:val="clear"/>
          <w:lang w:val="en-US" w:eastAsia="en-US" w:bidi="ar-SA"/>
        </w:rPr>
        <w:t>项</w:t>
      </w:r>
      <w:r>
        <w:rPr>
          <w:rFonts w:hint="eastAsia" w:asciiTheme="majorEastAsia" w:hAnsiTheme="majorEastAsia" w:eastAsiaTheme="majorEastAsia" w:cstheme="majorEastAsia"/>
          <w:spacing w:val="0"/>
          <w:w w:val="100"/>
          <w:kern w:val="2"/>
          <w:position w:val="0"/>
          <w:sz w:val="24"/>
          <w:szCs w:val="24"/>
          <w:shd w:val="clear"/>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根据表</w:t>
      </w:r>
      <w:r>
        <w:rPr>
          <w:rFonts w:hint="eastAsia" w:asciiTheme="majorEastAsia" w:hAnsiTheme="majorEastAsia" w:eastAsiaTheme="majorEastAsia" w:cstheme="majorEastAsia"/>
          <w:spacing w:val="0"/>
          <w:w w:val="100"/>
          <w:kern w:val="2"/>
          <w:position w:val="0"/>
          <w:sz w:val="24"/>
          <w:szCs w:val="24"/>
          <w:shd w:val="clear"/>
          <w:lang w:val="en-US" w:eastAsia="zh-CN" w:bidi="ar-SA"/>
        </w:rPr>
        <w:t>4.21一般</w:t>
      </w:r>
      <w:r>
        <w:rPr>
          <w:rFonts w:hint="eastAsia" w:asciiTheme="majorEastAsia" w:hAnsiTheme="majorEastAsia" w:eastAsiaTheme="majorEastAsia" w:cstheme="majorEastAsia"/>
          <w:spacing w:val="0"/>
          <w:w w:val="100"/>
          <w:kern w:val="2"/>
          <w:position w:val="0"/>
          <w:sz w:val="24"/>
          <w:szCs w:val="24"/>
          <w:shd w:val="clear"/>
          <w:lang w:val="en-US" w:eastAsia="en-US" w:bidi="ar-SA"/>
        </w:rPr>
        <w:t>危险源辨识可知河南省“十四五”人民胜利渠灌区续建配套与现代化改造项目2022年度工程施工III标</w:t>
      </w:r>
      <w:r>
        <w:rPr>
          <w:rFonts w:hint="eastAsia" w:asciiTheme="majorEastAsia" w:hAnsiTheme="majorEastAsia" w:eastAsiaTheme="majorEastAsia" w:cstheme="majorEastAsia"/>
          <w:spacing w:val="0"/>
          <w:w w:val="100"/>
          <w:kern w:val="2"/>
          <w:position w:val="0"/>
          <w:sz w:val="24"/>
          <w:szCs w:val="24"/>
          <w:shd w:val="clear"/>
          <w:lang w:val="en-US" w:eastAsia="zh-CN" w:bidi="ar-SA"/>
        </w:rPr>
        <w:t>项目涉</w:t>
      </w:r>
      <w:r>
        <w:rPr>
          <w:rFonts w:hint="eastAsia" w:asciiTheme="majorEastAsia" w:hAnsiTheme="majorEastAsia" w:eastAsiaTheme="majorEastAsia" w:cstheme="majorEastAsia"/>
          <w:spacing w:val="0"/>
          <w:w w:val="100"/>
          <w:kern w:val="2"/>
          <w:position w:val="0"/>
          <w:sz w:val="24"/>
          <w:szCs w:val="24"/>
          <w:shd w:val="clear"/>
          <w:lang w:val="en-US" w:eastAsia="en-US" w:bidi="ar-SA"/>
        </w:rPr>
        <w:t>及</w:t>
      </w:r>
      <w:r>
        <w:rPr>
          <w:rFonts w:hint="eastAsia" w:asciiTheme="majorEastAsia" w:hAnsiTheme="majorEastAsia" w:eastAsiaTheme="majorEastAsia" w:cstheme="majorEastAsia"/>
          <w:spacing w:val="0"/>
          <w:w w:val="100"/>
          <w:kern w:val="2"/>
          <w:position w:val="0"/>
          <w:sz w:val="24"/>
          <w:szCs w:val="24"/>
          <w:shd w:val="clear"/>
          <w:lang w:val="en-US" w:eastAsia="zh-CN" w:bidi="ar-SA"/>
        </w:rPr>
        <w:t>一般</w:t>
      </w:r>
      <w:r>
        <w:rPr>
          <w:rFonts w:hint="eastAsia" w:asciiTheme="majorEastAsia" w:hAnsiTheme="majorEastAsia" w:eastAsiaTheme="majorEastAsia" w:cstheme="majorEastAsia"/>
          <w:spacing w:val="0"/>
          <w:w w:val="100"/>
          <w:kern w:val="2"/>
          <w:position w:val="0"/>
          <w:sz w:val="24"/>
          <w:szCs w:val="24"/>
          <w:shd w:val="clear"/>
          <w:lang w:val="en-US" w:eastAsia="en-US" w:bidi="ar-SA"/>
        </w:rPr>
        <w:t>危险源</w:t>
      </w:r>
      <w:r>
        <w:rPr>
          <w:rFonts w:hint="eastAsia" w:asciiTheme="majorEastAsia" w:hAnsiTheme="majorEastAsia" w:eastAsiaTheme="majorEastAsia" w:cstheme="majorEastAsia"/>
          <w:spacing w:val="0"/>
          <w:w w:val="100"/>
          <w:kern w:val="2"/>
          <w:position w:val="0"/>
          <w:sz w:val="24"/>
          <w:szCs w:val="24"/>
          <w:shd w:val="clear"/>
          <w:lang w:val="en-US" w:eastAsia="zh-CN" w:bidi="ar-SA"/>
        </w:rPr>
        <w:t>6</w:t>
      </w:r>
      <w:r>
        <w:rPr>
          <w:rFonts w:hint="eastAsia" w:asciiTheme="majorEastAsia" w:hAnsiTheme="majorEastAsia" w:eastAsiaTheme="majorEastAsia" w:cstheme="majorEastAsia"/>
          <w:spacing w:val="0"/>
          <w:w w:val="100"/>
          <w:kern w:val="2"/>
          <w:position w:val="0"/>
          <w:sz w:val="24"/>
          <w:szCs w:val="24"/>
          <w:shd w:val="clear"/>
          <w:lang w:val="en-US" w:eastAsia="en-US" w:bidi="ar-SA"/>
        </w:rPr>
        <w:t>项，其中</w:t>
      </w:r>
      <w:r>
        <w:rPr>
          <w:rFonts w:hint="eastAsia" w:asciiTheme="majorEastAsia" w:hAnsiTheme="majorEastAsia" w:eastAsiaTheme="majorEastAsia" w:cstheme="majorEastAsia"/>
          <w:spacing w:val="0"/>
          <w:w w:val="100"/>
          <w:kern w:val="2"/>
          <w:position w:val="0"/>
          <w:sz w:val="24"/>
          <w:szCs w:val="24"/>
          <w:shd w:val="clear"/>
          <w:lang w:val="en-US" w:eastAsia="zh-CN" w:bidi="ar-SA"/>
        </w:rPr>
        <w:t>施工作业2项，</w:t>
      </w:r>
      <w:r>
        <w:rPr>
          <w:rFonts w:hint="eastAsia" w:asciiTheme="majorEastAsia" w:hAnsiTheme="majorEastAsia" w:eastAsiaTheme="majorEastAsia" w:cstheme="majorEastAsia"/>
          <w:spacing w:val="0"/>
          <w:w w:val="100"/>
          <w:kern w:val="2"/>
          <w:position w:val="0"/>
          <w:sz w:val="24"/>
          <w:szCs w:val="24"/>
          <w:shd w:val="clear"/>
          <w:lang w:val="en-US" w:eastAsia="en-US" w:bidi="ar-SA"/>
        </w:rPr>
        <w:t>机械设备类1项，设施场所类</w:t>
      </w:r>
      <w:r>
        <w:rPr>
          <w:rFonts w:hint="eastAsia" w:asciiTheme="majorEastAsia" w:hAnsiTheme="majorEastAsia" w:eastAsiaTheme="majorEastAsia" w:cstheme="majorEastAsia"/>
          <w:spacing w:val="0"/>
          <w:w w:val="100"/>
          <w:kern w:val="2"/>
          <w:position w:val="0"/>
          <w:sz w:val="24"/>
          <w:szCs w:val="24"/>
          <w:shd w:val="clear"/>
          <w:lang w:val="en-US" w:eastAsia="zh-CN" w:bidi="ar-SA"/>
        </w:rPr>
        <w:t>2</w:t>
      </w:r>
      <w:r>
        <w:rPr>
          <w:rFonts w:hint="eastAsia" w:asciiTheme="majorEastAsia" w:hAnsiTheme="majorEastAsia" w:eastAsiaTheme="majorEastAsia" w:cstheme="majorEastAsia"/>
          <w:spacing w:val="0"/>
          <w:w w:val="100"/>
          <w:kern w:val="2"/>
          <w:position w:val="0"/>
          <w:sz w:val="24"/>
          <w:szCs w:val="24"/>
          <w:shd w:val="clear"/>
          <w:lang w:val="en-US" w:eastAsia="en-US" w:bidi="ar-SA"/>
        </w:rPr>
        <w:t>项</w:t>
      </w:r>
      <w:r>
        <w:rPr>
          <w:rFonts w:hint="eastAsia" w:asciiTheme="majorEastAsia" w:hAnsiTheme="majorEastAsia" w:eastAsiaTheme="majorEastAsia" w:cstheme="majorEastAsia"/>
          <w:spacing w:val="0"/>
          <w:w w:val="100"/>
          <w:kern w:val="2"/>
          <w:position w:val="0"/>
          <w:sz w:val="24"/>
          <w:szCs w:val="24"/>
          <w:shd w:val="clear"/>
          <w:lang w:val="en-US" w:eastAsia="zh-CN" w:bidi="ar-SA"/>
        </w:rPr>
        <w:t>，其他1项。</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89" w:name="_Toc2859"/>
      <w:bookmarkStart w:id="90" w:name="_Toc15747"/>
      <w:r>
        <w:rPr>
          <w:rFonts w:hint="eastAsia" w:asciiTheme="majorEastAsia" w:hAnsiTheme="majorEastAsia" w:eastAsiaTheme="majorEastAsia" w:cstheme="majorEastAsia"/>
          <w:spacing w:val="0"/>
          <w:w w:val="100"/>
          <w:kern w:val="2"/>
          <w:position w:val="0"/>
          <w:sz w:val="24"/>
          <w:szCs w:val="24"/>
          <w:shd w:val="clear"/>
          <w:lang w:val="en-US" w:eastAsia="en-US" w:bidi="ar-SA"/>
        </w:rPr>
        <w:t>4.3危险源风险评价</w:t>
      </w:r>
      <w:bookmarkEnd w:id="89"/>
      <w:bookmarkEnd w:id="90"/>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91" w:name="_Toc16841"/>
      <w:r>
        <w:rPr>
          <w:rFonts w:hint="eastAsia" w:asciiTheme="majorEastAsia" w:hAnsiTheme="majorEastAsia" w:eastAsiaTheme="majorEastAsia" w:cstheme="majorEastAsia"/>
          <w:spacing w:val="0"/>
          <w:w w:val="100"/>
          <w:kern w:val="2"/>
          <w:position w:val="0"/>
          <w:sz w:val="24"/>
          <w:szCs w:val="24"/>
          <w:shd w:val="clear"/>
          <w:lang w:val="en-US" w:eastAsia="en-US" w:bidi="ar-SA"/>
        </w:rPr>
        <w:t>4.3.1危险源分析评价过程</w:t>
      </w:r>
      <w:bookmarkEnd w:id="91"/>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根据《水利水电工程施工危险源辨识与风险评价导则（试行）》（办监督函〔2018）1693号），本次危险源分析评价分为重大危险源分析评价和一般危险源分析评价，具体见表4.3-1和表4.3-2</w:t>
      </w:r>
    </w:p>
    <w:p>
      <w:pPr>
        <w:pageBreakBefore w:val="0"/>
        <w:kinsoku/>
        <w:overflowPunct/>
        <w:topLinePunct w:val="0"/>
        <w:spacing w:line="312" w:lineRule="auto"/>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br w:type="page"/>
      </w:r>
    </w:p>
    <w:p>
      <w:pPr>
        <w:pStyle w:val="24"/>
        <w:pageBreakBefore w:val="0"/>
        <w:tabs>
          <w:tab w:val="clear" w:pos="360"/>
        </w:tabs>
        <w:kinsoku/>
        <w:overflowPunct/>
        <w:topLinePunct w:val="0"/>
        <w:snapToGrid w:val="0"/>
        <w:spacing w:line="312" w:lineRule="auto"/>
        <w:jc w:val="center"/>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92" w:name="_Toc28411"/>
      <w:r>
        <w:rPr>
          <w:rFonts w:hint="eastAsia" w:asciiTheme="majorEastAsia" w:hAnsiTheme="majorEastAsia" w:eastAsiaTheme="majorEastAsia" w:cstheme="majorEastAsia"/>
          <w:color w:val="000000" w:themeColor="text1"/>
          <w:sz w:val="24"/>
          <w:szCs w:val="24"/>
          <w14:textFill>
            <w14:solidFill>
              <w14:schemeClr w14:val="tx1"/>
            </w14:solidFill>
          </w14:textFill>
        </w:rPr>
        <w:t>表4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.3.2-1重大</w:t>
      </w:r>
      <w:r>
        <w:rPr>
          <w:rFonts w:hint="eastAsia" w:asciiTheme="majorEastAsia" w:hAnsiTheme="majorEastAsia" w:eastAsiaTheme="majorEastAsia" w:cstheme="majorEastAsia"/>
          <w:color w:val="000000" w:themeColor="text1"/>
          <w:sz w:val="24"/>
          <w:szCs w:val="24"/>
          <w14:textFill>
            <w14:solidFill>
              <w14:schemeClr w14:val="tx1"/>
            </w14:solidFill>
          </w14:textFill>
        </w:rPr>
        <w:t>危险源风险分析评价表</w:t>
      </w:r>
      <w:bookmarkEnd w:id="92"/>
    </w:p>
    <w:tbl>
      <w:tblPr>
        <w:tblStyle w:val="16"/>
        <w:tblW w:w="14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901"/>
        <w:gridCol w:w="900"/>
        <w:gridCol w:w="1285"/>
        <w:gridCol w:w="2410"/>
        <w:gridCol w:w="5971"/>
        <w:gridCol w:w="1326"/>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3" w:hRule="atLeast"/>
          <w:tblHeader/>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90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类别</w:t>
            </w:r>
          </w:p>
        </w:tc>
        <w:tc>
          <w:tcPr>
            <w:tcW w:w="128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w:t>
            </w:r>
          </w:p>
        </w:tc>
        <w:tc>
          <w:tcPr>
            <w:tcW w:w="241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工程实际重大危险源</w:t>
            </w:r>
          </w:p>
        </w:tc>
        <w:tc>
          <w:tcPr>
            <w:tcW w:w="597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危险因素</w:t>
            </w:r>
          </w:p>
        </w:tc>
        <w:tc>
          <w:tcPr>
            <w:tcW w:w="1326"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可能导致</w:t>
            </w:r>
          </w:p>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事故类型</w:t>
            </w:r>
          </w:p>
        </w:tc>
        <w:tc>
          <w:tcPr>
            <w:tcW w:w="1382"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风险等级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88" w:hRule="atLeast"/>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900" w:type="dxa"/>
            <w:vAlign w:val="center"/>
          </w:tcPr>
          <w:p>
            <w:pPr>
              <w:pStyle w:val="22"/>
              <w:keepNext w:val="0"/>
              <w:keepLines w:val="0"/>
              <w:pageBreakBefore w:val="0"/>
              <w:widowControl w:val="0"/>
              <w:shd w:val="clear" w:color="auto" w:fill="auto"/>
              <w:kinsoku/>
              <w:overflowPunct/>
              <w:topLinePunct w:val="0"/>
              <w:bidi w:val="0"/>
              <w:spacing w:before="0" w:after="60" w:line="312" w:lineRule="auto"/>
              <w:ind w:left="0" w:right="0" w:firstLine="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机械设</w:t>
            </w:r>
          </w:p>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140" w:firstLineChars="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备类</w:t>
            </w:r>
          </w:p>
        </w:tc>
        <w:tc>
          <w:tcPr>
            <w:tcW w:w="1285" w:type="dxa"/>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起重吊装及安装拆卸</w:t>
            </w:r>
          </w:p>
        </w:tc>
        <w:tc>
          <w:tcPr>
            <w:tcW w:w="2410" w:type="dxa"/>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240" w:firstLineChars="100"/>
              <w:jc w:val="left"/>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lang w:eastAsia="zh-CN"/>
                <w14:textFill>
                  <w14:solidFill>
                    <w14:schemeClr w14:val="tx1"/>
                  </w14:solidFill>
                </w14:textFill>
              </w:rPr>
              <w:t>桥梁楼板吊装</w:t>
            </w:r>
          </w:p>
        </w:tc>
        <w:tc>
          <w:tcPr>
            <w:tcW w:w="5971" w:type="dxa"/>
            <w:vAlign w:val="center"/>
          </w:tcPr>
          <w:p>
            <w:pPr>
              <w:pStyle w:val="22"/>
              <w:keepNext w:val="0"/>
              <w:keepLines w:val="0"/>
              <w:pageBreakBefore w:val="0"/>
              <w:widowControl w:val="0"/>
              <w:numPr>
                <w:ilvl w:val="0"/>
                <w:numId w:val="0"/>
              </w:numPr>
              <w:shd w:val="clear" w:color="auto" w:fill="auto"/>
              <w:tabs>
                <w:tab w:val="left" w:pos="110"/>
              </w:tabs>
              <w:kinsoku/>
              <w:overflowPunct/>
              <w:topLinePunct w:val="0"/>
              <w:bidi w:val="0"/>
              <w:spacing w:before="0" w:after="40" w:line="312" w:lineRule="auto"/>
              <w:ind w:leftChars="0" w:right="0" w:rightChars="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起重吊装方案未进行专门设计论证，编制专顼方案，或无应急预案。</w:t>
            </w:r>
          </w:p>
          <w:p>
            <w:pPr>
              <w:pStyle w:val="22"/>
              <w:keepNext w:val="0"/>
              <w:keepLines w:val="0"/>
              <w:pageBreakBefore w:val="0"/>
              <w:widowControl w:val="0"/>
              <w:numPr>
                <w:ilvl w:val="0"/>
                <w:numId w:val="0"/>
              </w:numPr>
              <w:shd w:val="clear" w:color="auto" w:fill="auto"/>
              <w:tabs>
                <w:tab w:val="left" w:pos="139"/>
              </w:tabs>
              <w:kinsoku/>
              <w:overflowPunct/>
              <w:topLinePunct w:val="0"/>
              <w:bidi w:val="0"/>
              <w:spacing w:before="0" w:after="40" w:line="312" w:lineRule="auto"/>
              <w:ind w:leftChars="0" w:right="0" w:rightChars="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使用不合格吊索具。</w:t>
            </w:r>
          </w:p>
          <w:p>
            <w:pPr>
              <w:pStyle w:val="22"/>
              <w:keepNext w:val="0"/>
              <w:keepLines w:val="0"/>
              <w:pageBreakBefore w:val="0"/>
              <w:widowControl w:val="0"/>
              <w:numPr>
                <w:ilvl w:val="0"/>
                <w:numId w:val="0"/>
              </w:numPr>
              <w:shd w:val="clear" w:color="auto" w:fill="auto"/>
              <w:tabs>
                <w:tab w:val="left" w:pos="139"/>
              </w:tabs>
              <w:kinsoku/>
              <w:overflowPunct/>
              <w:topLinePunct w:val="0"/>
              <w:bidi w:val="0"/>
              <w:spacing w:before="0" w:after="40" w:line="312" w:lineRule="auto"/>
              <w:ind w:leftChars="0" w:right="0" w:rightChars="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作业人员未持证上岗，未按要求佩戴安全防护用品</w:t>
            </w:r>
          </w:p>
        </w:tc>
        <w:tc>
          <w:tcPr>
            <w:tcW w:w="1326" w:type="dxa"/>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物体打击、起重伤害、高处坠落</w:t>
            </w:r>
          </w:p>
        </w:tc>
        <w:tc>
          <w:tcPr>
            <w:tcW w:w="1382" w:type="dxa"/>
            <w:shd w:val="clear" w:color="auto" w:fill="auto"/>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highlight w:val="none"/>
                <w14:textFill>
                  <w14:solidFill>
                    <w14:schemeClr w14:val="tx1"/>
                  </w14:solidFill>
                </w14:textFill>
              </w:rPr>
              <w:t>重大风险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624" w:hRule="atLeast"/>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2</w:t>
            </w:r>
          </w:p>
        </w:tc>
        <w:tc>
          <w:tcPr>
            <w:tcW w:w="90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设施</w:t>
            </w:r>
          </w:p>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场所</w:t>
            </w:r>
          </w:p>
        </w:tc>
        <w:tc>
          <w:tcPr>
            <w:tcW w:w="128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供电系统</w:t>
            </w:r>
          </w:p>
        </w:tc>
        <w:tc>
          <w:tcPr>
            <w:tcW w:w="2410"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用电设备超过5台的临时用电工程</w:t>
            </w:r>
          </w:p>
        </w:tc>
        <w:tc>
          <w:tcPr>
            <w:tcW w:w="5971"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1.配电系统未采用三级配电、二级漏电保护系统。</w:t>
            </w:r>
          </w:p>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2.分配电箱与开关箱、开关箱与用电设备距离不符合规范要求。</w:t>
            </w:r>
          </w:p>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3.电气设备保护零线未做重复接地。</w:t>
            </w:r>
          </w:p>
          <w:p>
            <w:pPr>
              <w:pStyle w:val="3"/>
              <w:pageBreakBefore w:val="0"/>
              <w:kinsoku/>
              <w:overflowPunct/>
              <w:topLinePunct w:val="0"/>
              <w:spacing w:line="312" w:lineRule="auto"/>
              <w:ind w:firstLine="0" w:firstLineChars="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4.电缆线路的敷设不符合规范要求。</w:t>
            </w:r>
          </w:p>
        </w:tc>
        <w:tc>
          <w:tcPr>
            <w:tcW w:w="1326" w:type="dxa"/>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触电</w:t>
            </w:r>
          </w:p>
        </w:tc>
        <w:tc>
          <w:tcPr>
            <w:tcW w:w="1382" w:type="dxa"/>
            <w:shd w:val="clear" w:color="auto" w:fill="auto"/>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highlight w:val="none"/>
                <w14:textFill>
                  <w14:solidFill>
                    <w14:schemeClr w14:val="tx1"/>
                  </w14:solidFill>
                </w14:textFill>
              </w:rPr>
              <w:t>重大风险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624" w:hRule="atLeast"/>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3</w:t>
            </w:r>
          </w:p>
        </w:tc>
        <w:tc>
          <w:tcPr>
            <w:tcW w:w="90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p>
        </w:tc>
        <w:tc>
          <w:tcPr>
            <w:tcW w:w="1285" w:type="dxa"/>
            <w:vAlign w:val="center"/>
          </w:tcPr>
          <w:p>
            <w:pPr>
              <w:pageBreakBefore w:val="0"/>
              <w:kinsoku/>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kern w:val="0"/>
                <w:position w:val="0"/>
                <w:sz w:val="24"/>
                <w:szCs w:val="24"/>
                <w:shd w:val="clear" w:color="auto" w:fill="auto"/>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基坑</w:t>
            </w:r>
          </w:p>
        </w:tc>
        <w:tc>
          <w:tcPr>
            <w:tcW w:w="2410" w:type="dxa"/>
            <w:vAlign w:val="center"/>
          </w:tcPr>
          <w:p>
            <w:pPr>
              <w:pageBreakBefore w:val="0"/>
              <w:kinsoku/>
              <w:overflowPunct/>
              <w:topLinePunct w:val="0"/>
              <w:spacing w:line="312" w:lineRule="auto"/>
              <w:ind w:left="0" w:leftChars="0" w:right="0" w:rightChars="0" w:firstLine="0" w:firstLineChars="0"/>
              <w:rPr>
                <w:rFonts w:hint="eastAsia" w:asciiTheme="majorEastAsia" w:hAnsiTheme="majorEastAsia" w:eastAsiaTheme="majorEastAsia" w:cstheme="majorEastAsia"/>
                <w:color w:val="000000" w:themeColor="text1"/>
                <w:spacing w:val="0"/>
                <w:w w:val="100"/>
                <w:kern w:val="0"/>
                <w:position w:val="0"/>
                <w:sz w:val="24"/>
                <w:szCs w:val="24"/>
                <w:shd w:val="clear" w:color="auto" w:fill="auto"/>
                <w:lang w:val="en-US" w:eastAsia="zh-CN"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lang w:eastAsia="zh-CN"/>
                <w14:textFill>
                  <w14:solidFill>
                    <w14:schemeClr w14:val="tx1"/>
                  </w14:solidFill>
                </w14:textFill>
              </w:rPr>
              <w:t>闸</w:t>
            </w: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室段土方</w:t>
            </w:r>
            <w:r>
              <w:rPr>
                <w:rFonts w:hint="eastAsia" w:asciiTheme="majorEastAsia" w:hAnsiTheme="majorEastAsia" w:eastAsiaTheme="majorEastAsia" w:cstheme="majorEastAsia"/>
                <w:color w:val="000000" w:themeColor="text1"/>
                <w:spacing w:val="0"/>
                <w:w w:val="100"/>
                <w:position w:val="0"/>
                <w:sz w:val="24"/>
                <w:szCs w:val="24"/>
                <w:lang w:eastAsia="zh-CN"/>
                <w14:textFill>
                  <w14:solidFill>
                    <w14:schemeClr w14:val="tx1"/>
                  </w14:solidFill>
                </w14:textFill>
              </w:rPr>
              <w:t>开挖</w:t>
            </w:r>
          </w:p>
        </w:tc>
        <w:tc>
          <w:tcPr>
            <w:tcW w:w="5971" w:type="dxa"/>
            <w:vAlign w:val="center"/>
          </w:tcPr>
          <w:p>
            <w:pPr>
              <w:pageBreakBefore w:val="0"/>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1.机械挖土时未按施工方案的要求分层、分段开挖或开挖不均衡。</w:t>
            </w:r>
          </w:p>
          <w:p>
            <w:pPr>
              <w:pageBreakBefore w:val="0"/>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2.支护结构未达到设计要求的强度提前开挖下层土方。</w:t>
            </w:r>
          </w:p>
          <w:p>
            <w:pPr>
              <w:pageBreakBefore w:val="0"/>
              <w:kinsoku/>
              <w:overflowPunct/>
              <w:topLinePunct w:val="0"/>
              <w:spacing w:line="312" w:lineRule="auto"/>
              <w:ind w:left="0" w:leftChars="0" w:right="0" w:rightChars="0" w:firstLine="0" w:firstLineChars="0"/>
              <w:rPr>
                <w:rFonts w:hint="eastAsia" w:asciiTheme="majorEastAsia" w:hAnsiTheme="majorEastAsia" w:eastAsiaTheme="majorEastAsia" w:cstheme="majorEastAsia"/>
                <w:color w:val="000000" w:themeColor="text1"/>
                <w:spacing w:val="0"/>
                <w:w w:val="100"/>
                <w:kern w:val="0"/>
                <w:position w:val="0"/>
                <w:sz w:val="24"/>
                <w:szCs w:val="24"/>
                <w:shd w:val="clear" w:color="auto" w:fill="auto"/>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3.未按要求进行基坑工程监测。</w:t>
            </w:r>
          </w:p>
        </w:tc>
        <w:tc>
          <w:tcPr>
            <w:tcW w:w="1326" w:type="dxa"/>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lang w:val="en-US" w:eastAsia="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坍塌、高处坠落</w:t>
            </w:r>
          </w:p>
        </w:tc>
        <w:tc>
          <w:tcPr>
            <w:tcW w:w="1382" w:type="dxa"/>
            <w:shd w:val="clear" w:color="auto" w:fill="auto"/>
            <w:vAlign w:val="center"/>
          </w:tcPr>
          <w:p>
            <w:pPr>
              <w:pStyle w:val="22"/>
              <w:keepNext w:val="0"/>
              <w:keepLines w:val="0"/>
              <w:pageBreakBefore w:val="0"/>
              <w:widowControl w:val="0"/>
              <w:shd w:val="clear" w:color="auto" w:fill="auto"/>
              <w:kinsoku/>
              <w:overflowPunct/>
              <w:topLinePunct w:val="0"/>
              <w:bidi w:val="0"/>
              <w:spacing w:before="0" w:after="0" w:line="312" w:lineRule="auto"/>
              <w:ind w:left="0" w:leftChars="0" w:right="0" w:rightChars="0" w:firstLine="0" w:firstLineChars="0"/>
              <w:jc w:val="center"/>
              <w:rPr>
                <w:rFonts w:hint="eastAsia" w:asciiTheme="majorEastAsia" w:hAnsiTheme="majorEastAsia" w:eastAsiaTheme="majorEastAsia" w:cstheme="majorEastAsia"/>
                <w:color w:val="000000" w:themeColor="text1"/>
                <w:spacing w:val="0"/>
                <w:w w:val="100"/>
                <w:position w:val="0"/>
                <w:sz w:val="24"/>
                <w:szCs w:val="24"/>
                <w:highlight w:val="none"/>
                <w:lang w:val="en-US" w:eastAsia="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highlight w:val="none"/>
                <w14:textFill>
                  <w14:solidFill>
                    <w14:schemeClr w14:val="tx1"/>
                  </w14:solidFill>
                </w14:textFill>
              </w:rPr>
              <w:t>重大风险</w:t>
            </w:r>
          </w:p>
        </w:tc>
      </w:tr>
    </w:tbl>
    <w:p>
      <w:pPr>
        <w:pStyle w:val="24"/>
        <w:pageBreakBefore w:val="0"/>
        <w:tabs>
          <w:tab w:val="clear" w:pos="360"/>
        </w:tabs>
        <w:kinsoku/>
        <w:overflowPunct/>
        <w:topLinePunct w:val="0"/>
        <w:snapToGrid w:val="0"/>
        <w:spacing w:line="312" w:lineRule="auto"/>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ageBreakBefore w:val="0"/>
        <w:kinsoku/>
        <w:overflowPunct/>
        <w:topLinePunct w:val="0"/>
        <w:spacing w:line="312"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br w:type="page"/>
      </w:r>
    </w:p>
    <w:p>
      <w:pPr>
        <w:pStyle w:val="24"/>
        <w:pageBreakBefore w:val="0"/>
        <w:tabs>
          <w:tab w:val="clear" w:pos="360"/>
        </w:tabs>
        <w:kinsoku/>
        <w:overflowPunct/>
        <w:topLinePunct w:val="0"/>
        <w:snapToGrid w:val="0"/>
        <w:spacing w:line="312" w:lineRule="auto"/>
        <w:jc w:val="center"/>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93" w:name="_Toc8624"/>
      <w:r>
        <w:rPr>
          <w:rFonts w:hint="eastAsia" w:asciiTheme="majorEastAsia" w:hAnsiTheme="majorEastAsia" w:eastAsiaTheme="majorEastAsia" w:cstheme="majorEastAsia"/>
          <w:color w:val="000000" w:themeColor="text1"/>
          <w:sz w:val="24"/>
          <w:szCs w:val="24"/>
          <w14:textFill>
            <w14:solidFill>
              <w14:schemeClr w14:val="tx1"/>
            </w14:solidFill>
          </w14:textFill>
        </w:rPr>
        <w:t>表4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.3.2-2</w:t>
      </w:r>
      <w:r>
        <w:rPr>
          <w:rFonts w:hint="eastAsia" w:asciiTheme="majorEastAsia" w:hAnsiTheme="majorEastAsia" w:eastAsiaTheme="majorEastAsia" w:cstheme="majorEastAsia"/>
          <w:color w:val="000000" w:themeColor="text1"/>
          <w:sz w:val="24"/>
          <w:szCs w:val="24"/>
          <w14:textFill>
            <w14:solidFill>
              <w14:schemeClr w14:val="tx1"/>
            </w14:solidFill>
          </w14:textFill>
        </w:rPr>
        <w:t>一般危险源风险分析评价表</w:t>
      </w:r>
      <w:bookmarkEnd w:id="93"/>
    </w:p>
    <w:p>
      <w:pPr>
        <w:pageBreakBefore w:val="0"/>
        <w:kinsoku/>
        <w:overflowPunct/>
        <w:topLinePunct w:val="0"/>
        <w:spacing w:line="312" w:lineRule="auto"/>
        <w:rPr>
          <w:rFonts w:hint="eastAsia" w:asciiTheme="majorEastAsia" w:hAnsiTheme="majorEastAsia" w:eastAsiaTheme="majorEastAsia" w:cstheme="majorEastAsia"/>
          <w:sz w:val="24"/>
          <w:szCs w:val="24"/>
        </w:rPr>
      </w:pPr>
    </w:p>
    <w:tbl>
      <w:tblPr>
        <w:tblStyle w:val="16"/>
        <w:tblW w:w="143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8"/>
        <w:gridCol w:w="1874"/>
        <w:gridCol w:w="1847"/>
        <w:gridCol w:w="1498"/>
        <w:gridCol w:w="1114"/>
        <w:gridCol w:w="929"/>
        <w:gridCol w:w="929"/>
        <w:gridCol w:w="92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0"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作业类型</w:t>
            </w:r>
          </w:p>
        </w:tc>
        <w:tc>
          <w:tcPr>
            <w:tcW w:w="166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作业活动</w:t>
            </w:r>
            <w:r>
              <w:rPr>
                <w:rFonts w:hint="eastAsia" w:asciiTheme="majorEastAsia" w:hAnsiTheme="majorEastAsia" w:eastAsiaTheme="majorEastAsia" w:cstheme="majorEastAsia"/>
                <w:kern w:val="0"/>
                <w:sz w:val="24"/>
                <w:szCs w:val="24"/>
              </w:rPr>
              <w:t>施</w:t>
            </w:r>
          </w:p>
        </w:tc>
        <w:tc>
          <w:tcPr>
            <w:tcW w:w="1874"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危险源（点）</w:t>
            </w:r>
          </w:p>
        </w:tc>
        <w:tc>
          <w:tcPr>
            <w:tcW w:w="1847" w:type="dxa"/>
            <w:vMerge w:val="restart"/>
            <w:vAlign w:val="center"/>
          </w:tcPr>
          <w:p>
            <w:pPr>
              <w:pageBreakBefore w:val="0"/>
              <w:kinsoku/>
              <w:overflowPunct/>
              <w:topLinePunct w:val="0"/>
              <w:spacing w:line="312" w:lineRule="auto"/>
              <w:ind w:firstLine="120" w:firstLineChars="5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潜在事件</w:t>
            </w:r>
          </w:p>
        </w:tc>
        <w:tc>
          <w:tcPr>
            <w:tcW w:w="149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可能导致的事故类型</w:t>
            </w:r>
          </w:p>
        </w:tc>
        <w:tc>
          <w:tcPr>
            <w:tcW w:w="3901" w:type="dxa"/>
            <w:gridSpan w:val="4"/>
            <w:vAlign w:val="center"/>
          </w:tcPr>
          <w:p>
            <w:pPr>
              <w:pageBreakBefore w:val="0"/>
              <w:kinsoku/>
              <w:overflowPunct/>
              <w:topLinePunct w:val="0"/>
              <w:spacing w:line="312" w:lineRule="auto"/>
              <w:ind w:firstLine="826" w:firstLineChars="343"/>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LEC=D值</w:t>
            </w:r>
          </w:p>
        </w:tc>
        <w:tc>
          <w:tcPr>
            <w:tcW w:w="1889"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风险分级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668" w:type="dxa"/>
            <w:vMerge w:val="continue"/>
            <w:vAlign w:val="center"/>
          </w:tcPr>
          <w:p>
            <w:pPr>
              <w:pageBreakBefore w:val="0"/>
              <w:kinsoku/>
              <w:overflowPunct/>
              <w:topLinePunct w:val="0"/>
              <w:spacing w:line="312" w:lineRule="auto"/>
              <w:ind w:firstLine="480" w:firstLineChars="200"/>
              <w:jc w:val="center"/>
              <w:rPr>
                <w:rFonts w:hint="eastAsia" w:asciiTheme="majorEastAsia" w:hAnsiTheme="majorEastAsia" w:eastAsiaTheme="majorEastAsia" w:cstheme="majorEastAsia"/>
                <w:sz w:val="24"/>
                <w:szCs w:val="24"/>
              </w:rPr>
            </w:pPr>
          </w:p>
        </w:tc>
        <w:tc>
          <w:tcPr>
            <w:tcW w:w="1874"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847"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49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11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L</w:t>
            </w:r>
          </w:p>
        </w:tc>
        <w:tc>
          <w:tcPr>
            <w:tcW w:w="929"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E</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C</w:t>
            </w:r>
          </w:p>
        </w:tc>
        <w:tc>
          <w:tcPr>
            <w:tcW w:w="929"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D</w:t>
            </w:r>
          </w:p>
        </w:tc>
        <w:tc>
          <w:tcPr>
            <w:tcW w:w="1889" w:type="dxa"/>
            <w:vMerge w:val="continue"/>
            <w:vAlign w:val="center"/>
          </w:tcPr>
          <w:p>
            <w:pPr>
              <w:pageBreakBefore w:val="0"/>
              <w:kinsoku/>
              <w:overflowPunct/>
              <w:topLinePunct w:val="0"/>
              <w:spacing w:line="312" w:lineRule="auto"/>
              <w:ind w:firstLine="360" w:firstLineChars="15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660"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施工作业类</w:t>
            </w:r>
          </w:p>
        </w:tc>
        <w:tc>
          <w:tcPr>
            <w:tcW w:w="166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333333"/>
                <w:spacing w:val="9"/>
                <w:kern w:val="0"/>
                <w:sz w:val="24"/>
                <w:szCs w:val="24"/>
                <w:lang w:val="en-US" w:eastAsia="zh-CN" w:bidi="ar-SA"/>
              </w:rPr>
            </w:pPr>
            <w:r>
              <w:rPr>
                <w:rFonts w:hint="eastAsia" w:asciiTheme="majorEastAsia" w:hAnsiTheme="majorEastAsia" w:eastAsiaTheme="majorEastAsia" w:cstheme="majorEastAsia"/>
                <w:kern w:val="0"/>
                <w:sz w:val="24"/>
                <w:szCs w:val="24"/>
              </w:rPr>
              <w:t>钢筋工程</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焊接</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电线老化，操作不当</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火灾、触电事故</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229</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混凝土浇筑</w:t>
            </w:r>
          </w:p>
        </w:tc>
        <w:tc>
          <w:tcPr>
            <w:tcW w:w="187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t>浇筑</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物体打击、机械伤害</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物体打击、机械伤害</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929" w:type="dxa"/>
            <w:tcBorders>
              <w:right w:val="single" w:color="auto" w:sz="4"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175</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660"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机械设备类</w:t>
            </w: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运输车辆</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挖掘机、装载机、自卸车</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司机违规操作</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车祸伤人</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100</w:t>
            </w:r>
          </w:p>
        </w:tc>
        <w:tc>
          <w:tcPr>
            <w:tcW w:w="1889" w:type="dxa"/>
            <w:tcBorders>
              <w:top w:val="single" w:color="auto" w:sz="4" w:space="0"/>
            </w:tcBorders>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60"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设施场所类</w:t>
            </w: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0"/>
                <w:sz w:val="24"/>
                <w:szCs w:val="24"/>
              </w:rPr>
              <w:t>预制构件场所</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0"/>
                <w:sz w:val="24"/>
                <w:szCs w:val="24"/>
              </w:rPr>
              <w:t>预制构件制作</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机械操作不当</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机械伤人</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30</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施工道路、桥梁</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车辆</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司机违规操作</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车祸伤人</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72</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60"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其他类</w:t>
            </w:r>
          </w:p>
        </w:tc>
        <w:tc>
          <w:tcPr>
            <w:tcW w:w="1668" w:type="dxa"/>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消防安全</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0"/>
                <w:sz w:val="24"/>
                <w:szCs w:val="24"/>
              </w:rPr>
              <w:t>生活区用电、明火</w:t>
            </w:r>
          </w:p>
        </w:tc>
        <w:tc>
          <w:tcPr>
            <w:tcW w:w="1847" w:type="dxa"/>
            <w:vAlign w:val="center"/>
          </w:tcPr>
          <w:p>
            <w:pPr>
              <w:keepNext w:val="0"/>
              <w:keepLines w:val="0"/>
              <w:pageBreakBefore w:val="0"/>
              <w:widowControl/>
              <w:kinsoku/>
              <w:wordWrap/>
              <w:overflowPunct/>
              <w:topLinePunct w:val="0"/>
              <w:autoSpaceDE/>
              <w:autoSpaceDN/>
              <w:bidi w:val="0"/>
              <w:adjustRightInd/>
              <w:snapToGrid/>
              <w:spacing w:after="0" w:line="312" w:lineRule="auto"/>
              <w:jc w:val="center"/>
              <w:textAlignment w:val="auto"/>
              <w:outlineLvl w:val="9"/>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t>供电系统</w:t>
            </w:r>
            <w:r>
              <w:rPr>
                <w:rFonts w:hint="eastAsia" w:asciiTheme="majorEastAsia" w:hAnsiTheme="majorEastAsia" w:eastAsiaTheme="majorEastAsia" w:cstheme="majorEastAsia"/>
                <w:sz w:val="24"/>
                <w:szCs w:val="24"/>
                <w:lang w:eastAsia="zh-CN"/>
              </w:rPr>
              <w:t>不足或损坏</w:t>
            </w:r>
          </w:p>
        </w:tc>
        <w:tc>
          <w:tcPr>
            <w:tcW w:w="1498" w:type="dxa"/>
            <w:vAlign w:val="center"/>
          </w:tcPr>
          <w:p>
            <w:pPr>
              <w:keepNext w:val="0"/>
              <w:keepLines w:val="0"/>
              <w:pageBreakBefore w:val="0"/>
              <w:widowControl/>
              <w:kinsoku/>
              <w:wordWrap/>
              <w:overflowPunct/>
              <w:topLinePunct w:val="0"/>
              <w:autoSpaceDE/>
              <w:autoSpaceDN/>
              <w:bidi w:val="0"/>
              <w:adjustRightInd/>
              <w:snapToGrid/>
              <w:spacing w:after="0" w:line="312" w:lineRule="auto"/>
              <w:jc w:val="center"/>
              <w:textAlignment w:val="auto"/>
              <w:outlineLvl w:val="9"/>
              <w:rPr>
                <w:rFonts w:hint="eastAsia" w:asciiTheme="majorEastAsia" w:hAnsiTheme="majorEastAsia" w:eastAsiaTheme="majorEastAsia" w:cstheme="majorEastAsia"/>
                <w:kern w:val="2"/>
                <w:sz w:val="24"/>
                <w:szCs w:val="24"/>
                <w:highlight w:val="green"/>
                <w:lang w:val="en-US" w:eastAsia="zh-CN" w:bidi="ar-SA"/>
              </w:rPr>
            </w:pPr>
            <w:r>
              <w:rPr>
                <w:rFonts w:hint="eastAsia" w:asciiTheme="majorEastAsia" w:hAnsiTheme="majorEastAsia" w:eastAsiaTheme="majorEastAsia" w:cstheme="majorEastAsia"/>
                <w:sz w:val="24"/>
                <w:szCs w:val="24"/>
                <w:lang w:eastAsia="zh-CN"/>
              </w:rPr>
              <w:t>火灾、触电事故</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42</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低风险</w:t>
            </w:r>
          </w:p>
        </w:tc>
      </w:tr>
    </w:tbl>
    <w:p>
      <w:pPr>
        <w:pageBreakBefore w:val="0"/>
        <w:kinsoku/>
        <w:overflowPunct/>
        <w:topLinePunct w:val="0"/>
        <w:spacing w:line="312" w:lineRule="auto"/>
        <w:ind w:firstLine="720" w:firstLineChars="300"/>
        <w:rPr>
          <w:rFonts w:hint="eastAsia" w:asciiTheme="majorEastAsia" w:hAnsiTheme="majorEastAsia" w:eastAsiaTheme="majorEastAsia" w:cstheme="majorEastAsia"/>
          <w:sz w:val="24"/>
          <w:szCs w:val="24"/>
        </w:rPr>
        <w:sectPr>
          <w:head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7"/>
        <w:keepNext w:val="0"/>
        <w:keepLines w:val="0"/>
        <w:pageBreakBefore w:val="0"/>
        <w:widowControl w:val="0"/>
        <w:shd w:val="clear" w:color="auto" w:fill="auto"/>
        <w:kinsoku/>
        <w:overflowPunct/>
        <w:topLinePunct w:val="0"/>
        <w:bidi w:val="0"/>
        <w:spacing w:before="0" w:line="312" w:lineRule="auto"/>
        <w:ind w:left="0" w:right="0" w:firstLine="0"/>
        <w:jc w:val="left"/>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94" w:name="_Toc4707"/>
      <w:r>
        <w:rPr>
          <w:rFonts w:hint="eastAsia" w:asciiTheme="majorEastAsia" w:hAnsiTheme="majorEastAsia" w:eastAsiaTheme="majorEastAsia" w:cstheme="majorEastAsia"/>
          <w:b/>
          <w:bCs/>
          <w:color w:val="000000" w:themeColor="text1"/>
          <w:spacing w:val="0"/>
          <w:w w:val="100"/>
          <w:position w:val="0"/>
          <w:sz w:val="24"/>
          <w:szCs w:val="24"/>
          <w:lang w:val="en-US" w:eastAsia="en-US" w:bidi="en-US"/>
          <w14:textFill>
            <w14:solidFill>
              <w14:schemeClr w14:val="tx1"/>
            </w14:solidFill>
          </w14:textFill>
        </w:rPr>
        <w:t>4.3.</w:t>
      </w:r>
      <w:r>
        <w:rPr>
          <w:rFonts w:hint="eastAsia" w:asciiTheme="majorEastAsia" w:hAnsiTheme="majorEastAsia" w:eastAsiaTheme="majorEastAsia" w:cstheme="majorEastAsia"/>
          <w:b/>
          <w:bCs/>
          <w:color w:val="000000" w:themeColor="text1"/>
          <w:spacing w:val="0"/>
          <w:w w:val="100"/>
          <w:position w:val="0"/>
          <w:sz w:val="24"/>
          <w:szCs w:val="24"/>
          <w:lang w:val="en-US" w:eastAsia="zh-CN" w:bidi="en-US"/>
          <w14:textFill>
            <w14:solidFill>
              <w14:schemeClr w14:val="tx1"/>
            </w14:solidFill>
          </w14:textFill>
        </w:rPr>
        <w:t>2</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危险源分析评价结果</w:t>
      </w:r>
      <w:bookmarkEnd w:id="94"/>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根据表</w:t>
      </w:r>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4.3-</w:t>
      </w:r>
      <w:r>
        <w:rPr>
          <w:rFonts w:hint="eastAsia" w:asciiTheme="majorEastAsia" w:hAnsiTheme="majorEastAsia" w:eastAsiaTheme="majorEastAsia" w:cstheme="majorEastAsia"/>
          <w:color w:val="000000" w:themeColor="text1"/>
          <w:spacing w:val="0"/>
          <w:w w:val="100"/>
          <w:position w:val="0"/>
          <w:sz w:val="24"/>
          <w:szCs w:val="24"/>
          <w:lang w:val="en-US" w:eastAsia="zh-CN" w:bidi="en-US"/>
          <w14:textFill>
            <w14:solidFill>
              <w14:schemeClr w14:val="tx1"/>
            </w14:solidFill>
          </w14:textFill>
        </w:rPr>
        <w:t>2-1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重大危险源分析评价可知，</w:t>
      </w:r>
      <w:r>
        <w:rPr>
          <w:rFonts w:hint="eastAsia" w:asciiTheme="majorEastAsia" w:hAnsiTheme="majorEastAsia" w:eastAsiaTheme="majorEastAsia" w:cstheme="majorEastAsia"/>
          <w:color w:val="000000" w:themeColor="text1"/>
          <w:sz w:val="24"/>
          <w:szCs w:val="24"/>
          <w14:textFill>
            <w14:solidFill>
              <w14:schemeClr w14:val="tx1"/>
            </w14:solidFill>
          </w14:textFill>
        </w:rPr>
        <w:t>河南省“十四五”人民胜利渠灌区续建配套与现代化改造项目2022年度工程施工III标</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涉及</w:t>
      </w: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项施工重大危险源，风险等级为重大风险，釆用</w:t>
      </w:r>
      <w:r>
        <w:rPr>
          <w:rFonts w:hint="eastAsia" w:asciiTheme="majorEastAsia" w:hAnsiTheme="majorEastAsia" w:eastAsiaTheme="majorEastAsia" w:cstheme="majorEastAsia"/>
          <w:color w:val="000000" w:themeColor="text1"/>
          <w:spacing w:val="0"/>
          <w:w w:val="100"/>
          <w:position w:val="0"/>
          <w:sz w:val="24"/>
          <w:szCs w:val="24"/>
          <w:lang w:val="zh-CN" w:eastAsia="zh-CN" w:bidi="zh-CN"/>
          <w14:textFill>
            <w14:solidFill>
              <w14:schemeClr w14:val="tx1"/>
            </w14:solidFill>
          </w14:textFill>
        </w:rPr>
        <w:t>“红色”作为</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最高风险等级表示</w:t>
      </w:r>
      <w:r>
        <w:rPr>
          <w:rFonts w:hint="eastAsia" w:asciiTheme="majorEastAsia" w:hAnsiTheme="majorEastAsia" w:eastAsiaTheme="majorEastAsia" w:cstheme="majorEastAsia"/>
          <w:spacing w:val="0"/>
          <w:w w:val="100"/>
          <w:position w:val="0"/>
          <w:sz w:val="24"/>
          <w:szCs w:val="24"/>
        </w:rPr>
        <w:t>。</w:t>
      </w:r>
    </w:p>
    <w:p>
      <w:pPr>
        <w:pageBreakBefore w:val="0"/>
        <w:kinsoku/>
        <w:overflowPunct/>
        <w:topLinePunct w:val="0"/>
        <w:spacing w:line="312"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0"/>
          <w:w w:val="100"/>
          <w:position w:val="0"/>
          <w:sz w:val="24"/>
          <w:szCs w:val="24"/>
        </w:rPr>
        <w:t>根据表</w:t>
      </w:r>
      <w:r>
        <w:rPr>
          <w:rFonts w:hint="eastAsia" w:asciiTheme="majorEastAsia" w:hAnsiTheme="majorEastAsia" w:eastAsiaTheme="majorEastAsia" w:cstheme="majorEastAsia"/>
          <w:color w:val="3D3D3D"/>
          <w:spacing w:val="0"/>
          <w:w w:val="100"/>
          <w:position w:val="0"/>
          <w:sz w:val="24"/>
          <w:szCs w:val="24"/>
          <w:lang w:val="en-US" w:eastAsia="en-US" w:bidi="en-US"/>
        </w:rPr>
        <w:t>4.3.2</w:t>
      </w:r>
      <w:r>
        <w:rPr>
          <w:rFonts w:hint="eastAsia" w:asciiTheme="majorEastAsia" w:hAnsiTheme="majorEastAsia" w:eastAsiaTheme="majorEastAsia" w:cstheme="majorEastAsia"/>
          <w:color w:val="3D3D3D"/>
          <w:spacing w:val="0"/>
          <w:w w:val="100"/>
          <w:position w:val="0"/>
          <w:sz w:val="24"/>
          <w:szCs w:val="24"/>
          <w:lang w:val="en-US" w:eastAsia="zh-CN" w:bidi="en-US"/>
        </w:rPr>
        <w:t>-2</w:t>
      </w:r>
      <w:r>
        <w:rPr>
          <w:rFonts w:hint="eastAsia" w:asciiTheme="majorEastAsia" w:hAnsiTheme="majorEastAsia" w:eastAsiaTheme="majorEastAsia" w:cstheme="majorEastAsia"/>
          <w:spacing w:val="0"/>
          <w:w w:val="100"/>
          <w:position w:val="0"/>
          <w:sz w:val="24"/>
          <w:szCs w:val="24"/>
        </w:rPr>
        <w:t>一般危险源分析评价可知，</w:t>
      </w:r>
      <w:r>
        <w:rPr>
          <w:rFonts w:hint="eastAsia" w:asciiTheme="majorEastAsia" w:hAnsiTheme="majorEastAsia" w:eastAsiaTheme="majorEastAsia" w:cstheme="majorEastAsia"/>
          <w:sz w:val="24"/>
          <w:szCs w:val="24"/>
        </w:rPr>
        <w:t>河南省“十四五”人民胜利渠灌区续建配套与现代化改造项目2022年度工程施工III标</w:t>
      </w:r>
      <w:r>
        <w:rPr>
          <w:rFonts w:hint="eastAsia" w:asciiTheme="majorEastAsia" w:hAnsiTheme="majorEastAsia" w:eastAsiaTheme="majorEastAsia" w:cstheme="majorEastAsia"/>
          <w:spacing w:val="0"/>
          <w:w w:val="100"/>
          <w:position w:val="0"/>
          <w:sz w:val="24"/>
          <w:szCs w:val="24"/>
        </w:rPr>
        <w:t>涉及</w:t>
      </w:r>
      <w:r>
        <w:rPr>
          <w:rFonts w:hint="eastAsia" w:asciiTheme="majorEastAsia" w:hAnsiTheme="majorEastAsia" w:eastAsiaTheme="majorEastAsia" w:cstheme="majorEastAsia"/>
          <w:color w:val="3D3D3D"/>
          <w:spacing w:val="0"/>
          <w:w w:val="100"/>
          <w:position w:val="0"/>
          <w:sz w:val="24"/>
          <w:szCs w:val="24"/>
          <w:lang w:val="en-US" w:eastAsia="zh-CN"/>
        </w:rPr>
        <w:t>6</w:t>
      </w:r>
      <w:r>
        <w:rPr>
          <w:rFonts w:hint="eastAsia" w:asciiTheme="majorEastAsia" w:hAnsiTheme="majorEastAsia" w:eastAsiaTheme="majorEastAsia" w:cstheme="majorEastAsia"/>
          <w:spacing w:val="0"/>
          <w:w w:val="100"/>
          <w:position w:val="0"/>
          <w:sz w:val="24"/>
          <w:szCs w:val="24"/>
        </w:rPr>
        <w:t>项一般危险源，经釆用作业条件危险性分析评价，较大风险</w:t>
      </w:r>
      <w:r>
        <w:rPr>
          <w:rFonts w:hint="eastAsia" w:asciiTheme="majorEastAsia" w:hAnsiTheme="majorEastAsia" w:eastAsiaTheme="majorEastAsia" w:cstheme="majorEastAsia"/>
          <w:color w:val="3D3D3D"/>
          <w:spacing w:val="0"/>
          <w:w w:val="100"/>
          <w:position w:val="0"/>
          <w:sz w:val="24"/>
          <w:szCs w:val="24"/>
          <w:lang w:val="en-US" w:eastAsia="zh-CN"/>
        </w:rPr>
        <w:t>2</w:t>
      </w:r>
      <w:r>
        <w:rPr>
          <w:rFonts w:hint="eastAsia" w:asciiTheme="majorEastAsia" w:hAnsiTheme="majorEastAsia" w:eastAsiaTheme="majorEastAsia" w:cstheme="majorEastAsia"/>
          <w:spacing w:val="0"/>
          <w:w w:val="100"/>
          <w:position w:val="0"/>
          <w:sz w:val="24"/>
          <w:szCs w:val="24"/>
        </w:rPr>
        <w:t>项</w:t>
      </w:r>
      <w:r>
        <w:rPr>
          <w:rFonts w:hint="eastAsia" w:asciiTheme="majorEastAsia" w:hAnsiTheme="majorEastAsia" w:eastAsiaTheme="majorEastAsia" w:cstheme="majorEastAsia"/>
          <w:kern w:val="2"/>
          <w:sz w:val="24"/>
          <w:szCs w:val="24"/>
        </w:rPr>
        <w:t>其中</w:t>
      </w:r>
      <w:r>
        <w:rPr>
          <w:rFonts w:hint="eastAsia" w:asciiTheme="majorEastAsia" w:hAnsiTheme="majorEastAsia" w:eastAsiaTheme="majorEastAsia" w:cstheme="majorEastAsia"/>
          <w:kern w:val="2"/>
          <w:sz w:val="24"/>
          <w:szCs w:val="24"/>
          <w:lang w:eastAsia="zh-CN"/>
        </w:rPr>
        <w:t>施工作业</w:t>
      </w:r>
      <w:r>
        <w:rPr>
          <w:rFonts w:hint="eastAsia" w:asciiTheme="majorEastAsia" w:hAnsiTheme="majorEastAsia" w:eastAsiaTheme="majorEastAsia" w:cstheme="majorEastAsia"/>
          <w:kern w:val="2"/>
          <w:sz w:val="24"/>
          <w:szCs w:val="24"/>
          <w:lang w:val="en-US" w:eastAsia="zh-CN"/>
        </w:rPr>
        <w:t>2项，</w:t>
      </w:r>
      <w:r>
        <w:rPr>
          <w:rFonts w:hint="eastAsia" w:asciiTheme="majorEastAsia" w:hAnsiTheme="majorEastAsia" w:eastAsiaTheme="majorEastAsia" w:cstheme="majorEastAsia"/>
          <w:kern w:val="2"/>
          <w:sz w:val="24"/>
          <w:szCs w:val="24"/>
        </w:rPr>
        <w:t>机械设备类1项，设施场所类</w:t>
      </w:r>
      <w:r>
        <w:rPr>
          <w:rFonts w:hint="eastAsia" w:asciiTheme="majorEastAsia" w:hAnsiTheme="majorEastAsia" w:eastAsiaTheme="majorEastAsia" w:cstheme="majorEastAsia"/>
          <w:kern w:val="2"/>
          <w:sz w:val="24"/>
          <w:szCs w:val="24"/>
          <w:lang w:val="en-US" w:eastAsia="zh-CN"/>
        </w:rPr>
        <w:t>2</w:t>
      </w:r>
      <w:r>
        <w:rPr>
          <w:rFonts w:hint="eastAsia" w:asciiTheme="majorEastAsia" w:hAnsiTheme="majorEastAsia" w:eastAsiaTheme="majorEastAsia" w:cstheme="majorEastAsia"/>
          <w:kern w:val="2"/>
          <w:sz w:val="24"/>
          <w:szCs w:val="24"/>
        </w:rPr>
        <w:t>项</w:t>
      </w:r>
      <w:r>
        <w:rPr>
          <w:rFonts w:hint="eastAsia" w:asciiTheme="majorEastAsia" w:hAnsiTheme="majorEastAsia" w:eastAsiaTheme="majorEastAsia" w:cstheme="majorEastAsia"/>
          <w:kern w:val="2"/>
          <w:sz w:val="24"/>
          <w:szCs w:val="24"/>
          <w:lang w:eastAsia="zh-CN"/>
        </w:rPr>
        <w:t>，其他</w:t>
      </w:r>
      <w:r>
        <w:rPr>
          <w:rFonts w:hint="eastAsia" w:asciiTheme="majorEastAsia" w:hAnsiTheme="majorEastAsia" w:eastAsiaTheme="majorEastAsia" w:cstheme="majorEastAsia"/>
          <w:kern w:val="2"/>
          <w:sz w:val="24"/>
          <w:szCs w:val="24"/>
          <w:lang w:val="en-US" w:eastAsia="zh-CN"/>
        </w:rPr>
        <w:t>1项</w:t>
      </w:r>
      <w:r>
        <w:rPr>
          <w:rFonts w:hint="eastAsia" w:asciiTheme="majorEastAsia" w:hAnsiTheme="majorEastAsia" w:eastAsiaTheme="majorEastAsia" w:cstheme="majorEastAsia"/>
          <w:spacing w:val="0"/>
          <w:w w:val="100"/>
          <w:position w:val="0"/>
          <w:sz w:val="24"/>
          <w:szCs w:val="24"/>
        </w:rPr>
        <w:t>，根据风险危险程度，按照从高到低的原则分别用</w:t>
      </w:r>
      <w:r>
        <w:rPr>
          <w:rFonts w:hint="eastAsia" w:asciiTheme="majorEastAsia" w:hAnsiTheme="majorEastAsia" w:eastAsiaTheme="majorEastAsia" w:cstheme="majorEastAsia"/>
          <w:spacing w:val="0"/>
          <w:w w:val="100"/>
          <w:position w:val="0"/>
          <w:sz w:val="24"/>
          <w:szCs w:val="24"/>
          <w:lang w:val="zh-CN" w:eastAsia="zh-CN" w:bidi="zh-CN"/>
        </w:rPr>
        <w:t>“橙</w:t>
      </w:r>
      <w:r>
        <w:rPr>
          <w:rFonts w:hint="eastAsia" w:asciiTheme="majorEastAsia" w:hAnsiTheme="majorEastAsia" w:eastAsiaTheme="majorEastAsia" w:cstheme="majorEastAsia"/>
          <w:spacing w:val="0"/>
          <w:w w:val="100"/>
          <w:position w:val="0"/>
          <w:sz w:val="24"/>
          <w:szCs w:val="24"/>
        </w:rPr>
        <w:t>色、黄色、蓝色”进行了标注</w:t>
      </w:r>
    </w:p>
    <w:p>
      <w:pPr>
        <w:pageBreakBefore w:val="0"/>
        <w:kinsoku/>
        <w:overflowPunct/>
        <w:topLinePunct w:val="0"/>
        <w:spacing w:line="312"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0"/>
        <w:rPr>
          <w:rFonts w:hint="eastAsia" w:asciiTheme="majorEastAsia" w:hAnsiTheme="majorEastAsia" w:eastAsiaTheme="majorEastAsia" w:cstheme="majorEastAsia"/>
          <w:sz w:val="24"/>
          <w:szCs w:val="24"/>
          <w:lang w:val="en-US" w:eastAsia="zh-CN"/>
        </w:rPr>
      </w:pPr>
      <w:bookmarkStart w:id="95" w:name="bookmark78"/>
      <w:bookmarkStart w:id="96" w:name="bookmark80"/>
      <w:bookmarkStart w:id="97" w:name="_Toc3285"/>
      <w:bookmarkStart w:id="98" w:name="bookmark79"/>
      <w:bookmarkStart w:id="99" w:name="_Toc21141"/>
      <w:bookmarkStart w:id="100" w:name="_Toc16069"/>
      <w:bookmarkStart w:id="101" w:name="_Toc28390"/>
      <w:r>
        <w:rPr>
          <w:rFonts w:hint="eastAsia" w:asciiTheme="majorEastAsia" w:hAnsiTheme="majorEastAsia" w:eastAsiaTheme="majorEastAsia" w:cstheme="majorEastAsia"/>
          <w:sz w:val="24"/>
          <w:szCs w:val="24"/>
          <w:lang w:val="en-US" w:eastAsia="zh-CN"/>
        </w:rPr>
        <w:t>五、安全管控措施</w:t>
      </w:r>
      <w:bookmarkEnd w:id="95"/>
      <w:bookmarkEnd w:id="96"/>
      <w:bookmarkEnd w:id="97"/>
      <w:bookmarkEnd w:id="98"/>
      <w:bookmarkEnd w:id="99"/>
      <w:bookmarkEnd w:id="100"/>
      <w:bookmarkEnd w:id="101"/>
    </w:p>
    <w:p>
      <w:pPr>
        <w:pStyle w:val="20"/>
        <w:keepNext w:val="0"/>
        <w:keepLines w:val="0"/>
        <w:pageBreakBefore w:val="0"/>
        <w:widowControl w:val="0"/>
        <w:shd w:val="clear" w:color="auto" w:fill="auto"/>
        <w:kinsoku/>
        <w:overflowPunct/>
        <w:topLinePunct w:val="0"/>
        <w:bidi w:val="0"/>
        <w:spacing w:before="0" w:after="0" w:line="312" w:lineRule="auto"/>
        <w:ind w:left="0" w:right="0" w:firstLine="0"/>
        <w:jc w:val="both"/>
        <w:outlineLvl w:val="2"/>
        <w:rPr>
          <w:rFonts w:hint="eastAsia" w:asciiTheme="majorEastAsia" w:hAnsiTheme="majorEastAsia" w:eastAsiaTheme="majorEastAsia" w:cstheme="majorEastAsia"/>
          <w:color w:val="auto"/>
          <w:sz w:val="24"/>
          <w:szCs w:val="24"/>
        </w:rPr>
      </w:pPr>
      <w:bookmarkStart w:id="102" w:name="_Toc14210"/>
      <w:bookmarkStart w:id="103" w:name="_Toc13150"/>
      <w:r>
        <w:rPr>
          <w:rFonts w:hint="eastAsia" w:asciiTheme="majorEastAsia" w:hAnsiTheme="majorEastAsia" w:eastAsiaTheme="majorEastAsia" w:cstheme="majorEastAsia"/>
          <w:color w:val="auto"/>
          <w:spacing w:val="0"/>
          <w:w w:val="100"/>
          <w:position w:val="0"/>
          <w:sz w:val="24"/>
          <w:szCs w:val="24"/>
          <w:lang w:val="en-US" w:eastAsia="en-US" w:bidi="en-US"/>
        </w:rPr>
        <w:t>5.1</w:t>
      </w:r>
      <w:r>
        <w:rPr>
          <w:rFonts w:hint="eastAsia" w:asciiTheme="majorEastAsia" w:hAnsiTheme="majorEastAsia" w:eastAsiaTheme="majorEastAsia" w:cstheme="majorEastAsia"/>
          <w:color w:val="auto"/>
          <w:spacing w:val="0"/>
          <w:w w:val="100"/>
          <w:position w:val="0"/>
          <w:sz w:val="24"/>
          <w:szCs w:val="24"/>
        </w:rPr>
        <w:t>安全管控措施分类</w:t>
      </w:r>
      <w:bookmarkEnd w:id="102"/>
      <w:bookmarkEnd w:id="103"/>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根据危险源辨识与风险评价结果，对可能导致事故发生的危险、有害因素从工程技术、安全管理、教育培训、个体防护、应急处置五个方面提出控制措施。</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0"/>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104" w:name="bookmark81"/>
      <w:bookmarkStart w:id="105" w:name="_Toc18633"/>
      <w:bookmarkStart w:id="106" w:name="_Toc12160"/>
      <w:r>
        <w:rPr>
          <w:rFonts w:hint="eastAsia" w:asciiTheme="majorEastAsia" w:hAnsiTheme="majorEastAsia" w:eastAsiaTheme="majorEastAsia" w:cstheme="majorEastAsia"/>
          <w:spacing w:val="0"/>
          <w:w w:val="100"/>
          <w:kern w:val="2"/>
          <w:position w:val="0"/>
          <w:sz w:val="24"/>
          <w:szCs w:val="24"/>
          <w:shd w:val="clear"/>
          <w:lang w:val="en-US" w:eastAsia="en-US" w:bidi="ar-SA"/>
        </w:rPr>
        <w:t>一</w:t>
      </w:r>
      <w:bookmarkEnd w:id="104"/>
      <w:r>
        <w:rPr>
          <w:rFonts w:hint="eastAsia" w:asciiTheme="majorEastAsia" w:hAnsiTheme="majorEastAsia" w:eastAsiaTheme="majorEastAsia" w:cstheme="majorEastAsia"/>
          <w:spacing w:val="0"/>
          <w:w w:val="100"/>
          <w:kern w:val="2"/>
          <w:position w:val="0"/>
          <w:sz w:val="24"/>
          <w:szCs w:val="24"/>
          <w:shd w:val="clear"/>
          <w:lang w:val="en-US" w:eastAsia="en-US" w:bidi="ar-SA"/>
        </w:rPr>
        <w:t>、工程技术</w:t>
      </w:r>
      <w:r>
        <w:rPr>
          <w:rFonts w:hint="eastAsia" w:asciiTheme="majorEastAsia" w:hAnsiTheme="majorEastAsia" w:eastAsiaTheme="majorEastAsia" w:cstheme="majorEastAsia"/>
          <w:spacing w:val="0"/>
          <w:w w:val="100"/>
          <w:kern w:val="2"/>
          <w:position w:val="0"/>
          <w:sz w:val="24"/>
          <w:szCs w:val="24"/>
          <w:shd w:val="clear"/>
          <w:lang w:val="en-US" w:eastAsia="zh-CN" w:bidi="ar-SA"/>
        </w:rPr>
        <w:t>措施</w:t>
      </w:r>
      <w:bookmarkEnd w:id="105"/>
      <w:bookmarkEnd w:id="106"/>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工程技术措施是指作业、设备设施本身固有的控制措施，包括：</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——消除：通过合理的设计和科学的管理，尽可能从根本上消除危险、危害因素；</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——预防：当消除危险、危害因素有困难时，可釆取预防性技术措施，预防危险、危害发生，如使用漏电保护装置、起重量限制器、力矩限制器、起升高度限制器等；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——减弱：在无法消除危险、危害因素和难以预防的情况下，可采取减少危险、危害的措施，如设置安全防护网、避雷装置等；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隔离：在无法消除、预防、减弱危险、危害的情况下，应将人员与危险、危害因素隔开和将不能共存的物质分开，如圆盘锯防护罩、拆除脚手架设置隔离区、钢筋调直区域设置隔离带、氧气瓶与乙焼瓶分开放置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——警告：在易发生故障和危险性较大的地方，配置醒目的安全色、安全标志，必要时，设置声、光或声光组合报警装置，如塔式起重机起重力矩设置声音报警装置。</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0"/>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107" w:name="bookmark82"/>
      <w:bookmarkStart w:id="108" w:name="_Toc19857"/>
      <w:bookmarkStart w:id="109" w:name="_Toc17444"/>
      <w:r>
        <w:rPr>
          <w:rFonts w:hint="eastAsia" w:asciiTheme="majorEastAsia" w:hAnsiTheme="majorEastAsia" w:eastAsiaTheme="majorEastAsia" w:cstheme="majorEastAsia"/>
          <w:spacing w:val="0"/>
          <w:w w:val="100"/>
          <w:kern w:val="2"/>
          <w:position w:val="0"/>
          <w:sz w:val="24"/>
          <w:szCs w:val="24"/>
          <w:shd w:val="clear"/>
          <w:lang w:val="en-US" w:eastAsia="en-US" w:bidi="ar-SA"/>
        </w:rPr>
        <w:t>二</w:t>
      </w:r>
      <w:bookmarkEnd w:id="107"/>
      <w:r>
        <w:rPr>
          <w:rFonts w:hint="eastAsia" w:asciiTheme="majorEastAsia" w:hAnsiTheme="majorEastAsia" w:eastAsiaTheme="majorEastAsia" w:cstheme="majorEastAsia"/>
          <w:spacing w:val="0"/>
          <w:w w:val="100"/>
          <w:kern w:val="2"/>
          <w:position w:val="0"/>
          <w:sz w:val="24"/>
          <w:szCs w:val="24"/>
          <w:shd w:val="clear"/>
          <w:lang w:val="en-US" w:eastAsia="en-US" w:bidi="ar-SA"/>
        </w:rPr>
        <w:t>、安全管理措施</w:t>
      </w:r>
      <w:bookmarkEnd w:id="108"/>
      <w:bookmarkEnd w:id="109"/>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安全管理措施包括：制定安全管理制度、成立安全管理组织机构、制定安全技术操作规程、编制专项施工方案、组织专家论证、进行安全技术交底、对安全生产进行监控、进行安全检查、技术检测以及实施安全奖罚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0"/>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110" w:name="bookmark83"/>
      <w:bookmarkStart w:id="111" w:name="_Toc21521"/>
      <w:bookmarkStart w:id="112" w:name="_Toc3149"/>
      <w:r>
        <w:rPr>
          <w:rFonts w:hint="eastAsia" w:asciiTheme="majorEastAsia" w:hAnsiTheme="majorEastAsia" w:eastAsiaTheme="majorEastAsia" w:cstheme="majorEastAsia"/>
          <w:spacing w:val="0"/>
          <w:w w:val="100"/>
          <w:kern w:val="2"/>
          <w:position w:val="0"/>
          <w:sz w:val="24"/>
          <w:szCs w:val="24"/>
          <w:shd w:val="clear"/>
          <w:lang w:val="en-US" w:eastAsia="en-US" w:bidi="ar-SA"/>
        </w:rPr>
        <w:t>三</w:t>
      </w:r>
      <w:bookmarkEnd w:id="110"/>
      <w:r>
        <w:rPr>
          <w:rFonts w:hint="eastAsia" w:asciiTheme="majorEastAsia" w:hAnsiTheme="majorEastAsia" w:eastAsiaTheme="majorEastAsia" w:cstheme="majorEastAsia"/>
          <w:spacing w:val="0"/>
          <w:w w:val="100"/>
          <w:kern w:val="2"/>
          <w:position w:val="0"/>
          <w:sz w:val="24"/>
          <w:szCs w:val="24"/>
          <w:shd w:val="clear"/>
          <w:lang w:val="en-US" w:eastAsia="en-US" w:bidi="ar-SA"/>
        </w:rPr>
        <w:t>、教育培训措施</w:t>
      </w:r>
      <w:bookmarkEnd w:id="111"/>
      <w:bookmarkEnd w:id="112"/>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培训教育措施包括：员工入场三级培训、每年再培训、安全管理人员及特种作业人员继续教育、作业前安全技术交底以及其他方面的I培训。</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0"/>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113" w:name="bookmark84"/>
      <w:bookmarkStart w:id="114" w:name="_Toc5691"/>
      <w:bookmarkStart w:id="115" w:name="_Toc17732"/>
      <w:r>
        <w:rPr>
          <w:rFonts w:hint="eastAsia" w:asciiTheme="majorEastAsia" w:hAnsiTheme="majorEastAsia" w:eastAsiaTheme="majorEastAsia" w:cstheme="majorEastAsia"/>
          <w:spacing w:val="0"/>
          <w:w w:val="100"/>
          <w:kern w:val="2"/>
          <w:position w:val="0"/>
          <w:sz w:val="24"/>
          <w:szCs w:val="24"/>
          <w:shd w:val="clear"/>
          <w:lang w:val="en-US" w:eastAsia="en-US" w:bidi="ar-SA"/>
        </w:rPr>
        <w:t>四</w:t>
      </w:r>
      <w:bookmarkEnd w:id="113"/>
      <w:r>
        <w:rPr>
          <w:rFonts w:hint="eastAsia" w:asciiTheme="majorEastAsia" w:hAnsiTheme="majorEastAsia" w:eastAsiaTheme="majorEastAsia" w:cstheme="majorEastAsia"/>
          <w:spacing w:val="0"/>
          <w:w w:val="100"/>
          <w:kern w:val="2"/>
          <w:position w:val="0"/>
          <w:sz w:val="24"/>
          <w:szCs w:val="24"/>
          <w:shd w:val="clear"/>
          <w:lang w:val="en-US" w:eastAsia="en-US" w:bidi="ar-SA"/>
        </w:rPr>
        <w:t>、个体防护措施</w:t>
      </w:r>
      <w:bookmarkEnd w:id="114"/>
      <w:bookmarkEnd w:id="115"/>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个体防护措施包括：安全帽、安全带、防护服、耳塞、听力防护罩、防护眼镜、防护手套、绝缘鞋、呼吸器等。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0"/>
        <w:rPr>
          <w:rFonts w:hint="eastAsia" w:asciiTheme="majorEastAsia" w:hAnsiTheme="majorEastAsia" w:eastAsiaTheme="majorEastAsia" w:cstheme="majorEastAsia"/>
          <w:spacing w:val="0"/>
          <w:w w:val="100"/>
          <w:kern w:val="2"/>
          <w:position w:val="0"/>
          <w:sz w:val="24"/>
          <w:szCs w:val="24"/>
          <w:shd w:val="clear"/>
          <w:lang w:val="en-US" w:eastAsia="en-US" w:bidi="ar-SA"/>
        </w:rPr>
      </w:pPr>
      <w:bookmarkStart w:id="116" w:name="bookmark85"/>
      <w:bookmarkStart w:id="117" w:name="_Toc21037"/>
      <w:bookmarkStart w:id="118" w:name="_Toc15100"/>
      <w:r>
        <w:rPr>
          <w:rFonts w:hint="eastAsia" w:asciiTheme="majorEastAsia" w:hAnsiTheme="majorEastAsia" w:eastAsiaTheme="majorEastAsia" w:cstheme="majorEastAsia"/>
          <w:spacing w:val="0"/>
          <w:w w:val="100"/>
          <w:kern w:val="2"/>
          <w:position w:val="0"/>
          <w:sz w:val="24"/>
          <w:szCs w:val="24"/>
          <w:shd w:val="clear"/>
          <w:lang w:val="en-US" w:eastAsia="en-US" w:bidi="ar-SA"/>
        </w:rPr>
        <w:t>五</w:t>
      </w:r>
      <w:bookmarkEnd w:id="116"/>
      <w:r>
        <w:rPr>
          <w:rFonts w:hint="eastAsia" w:asciiTheme="majorEastAsia" w:hAnsiTheme="majorEastAsia" w:eastAsiaTheme="majorEastAsia" w:cstheme="majorEastAsia"/>
          <w:spacing w:val="0"/>
          <w:w w:val="100"/>
          <w:kern w:val="2"/>
          <w:position w:val="0"/>
          <w:sz w:val="24"/>
          <w:szCs w:val="24"/>
          <w:shd w:val="clear"/>
          <w:lang w:val="en-US" w:eastAsia="en-US" w:bidi="ar-SA"/>
        </w:rPr>
        <w:t>、应急处置措施</w:t>
      </w:r>
      <w:bookmarkEnd w:id="117"/>
      <w:bookmarkEnd w:id="11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应急处置措施包括：紧急情况分析、应急预案制定、现场处置方案制定、应急物资准备以及应急演练等。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en-US" w:bidi="ar-SA"/>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keepNext w:val="0"/>
        <w:keepLines w:val="0"/>
        <w:pageBreakBefore w:val="0"/>
        <w:widowControl w:val="0"/>
        <w:shd w:val="clear" w:color="auto" w:fill="auto"/>
        <w:kinsoku/>
        <w:overflowPunct/>
        <w:topLinePunct w:val="0"/>
        <w:bidi w:val="0"/>
        <w:spacing w:before="0" w:after="0" w:line="312" w:lineRule="auto"/>
        <w:ind w:left="0" w:right="0" w:firstLine="0"/>
        <w:jc w:val="both"/>
        <w:outlineLvl w:val="2"/>
        <w:rPr>
          <w:rFonts w:hint="eastAsia" w:asciiTheme="majorEastAsia" w:hAnsiTheme="majorEastAsia" w:eastAsiaTheme="majorEastAsia" w:cstheme="majorEastAsia"/>
          <w:color w:val="auto"/>
          <w:spacing w:val="0"/>
          <w:w w:val="100"/>
          <w:position w:val="0"/>
          <w:sz w:val="24"/>
          <w:szCs w:val="24"/>
          <w:lang w:val="en-US" w:eastAsia="en-US" w:bidi="en-US"/>
        </w:rPr>
      </w:pPr>
      <w:bookmarkStart w:id="119" w:name="_Toc23427"/>
      <w:bookmarkStart w:id="120" w:name="_Toc19635"/>
      <w:bookmarkStart w:id="121" w:name="_Toc28927"/>
      <w:r>
        <w:rPr>
          <w:rFonts w:hint="eastAsia" w:asciiTheme="majorEastAsia" w:hAnsiTheme="majorEastAsia" w:eastAsiaTheme="majorEastAsia" w:cstheme="majorEastAsia"/>
          <w:color w:val="auto"/>
          <w:spacing w:val="0"/>
          <w:w w:val="100"/>
          <w:position w:val="0"/>
          <w:sz w:val="24"/>
          <w:szCs w:val="24"/>
          <w:lang w:val="en-US" w:eastAsia="en-US" w:bidi="en-US"/>
        </w:rPr>
        <w:t>5.2安全管控措施危险源风险管控清单详见表5.2-1和表5.2-2</w:t>
      </w:r>
      <w:bookmarkEnd w:id="119"/>
      <w:bookmarkEnd w:id="120"/>
    </w:p>
    <w:p>
      <w:pPr>
        <w:pStyle w:val="20"/>
        <w:keepNext w:val="0"/>
        <w:keepLines w:val="0"/>
        <w:pageBreakBefore w:val="0"/>
        <w:widowControl w:val="0"/>
        <w:shd w:val="clear" w:color="auto" w:fill="auto"/>
        <w:kinsoku/>
        <w:overflowPunct/>
        <w:topLinePunct w:val="0"/>
        <w:bidi w:val="0"/>
        <w:spacing w:before="0" w:after="120" w:line="312" w:lineRule="auto"/>
        <w:ind w:left="5520" w:right="0" w:firstLine="0"/>
        <w:jc w:val="left"/>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5.2-1</w:t>
      </w:r>
      <w:r>
        <w:rPr>
          <w:rFonts w:hint="eastAsia" w:asciiTheme="majorEastAsia" w:hAnsiTheme="majorEastAsia" w:eastAsiaTheme="majorEastAsia" w:cstheme="majorEastAsia"/>
          <w:b/>
          <w:bCs/>
          <w:color w:val="auto"/>
          <w:spacing w:val="0"/>
          <w:w w:val="100"/>
          <w:position w:val="0"/>
          <w:sz w:val="24"/>
          <w:szCs w:val="24"/>
        </w:rPr>
        <w:t>重大危险源风险管控清单</w:t>
      </w:r>
      <w:bookmarkEnd w:id="121"/>
    </w:p>
    <w:tbl>
      <w:tblPr>
        <w:tblStyle w:val="16"/>
        <w:tblW w:w="4888" w:type="pct"/>
        <w:jc w:val="right"/>
        <w:tblLayout w:type="autofit"/>
        <w:tblCellMar>
          <w:top w:w="0" w:type="dxa"/>
          <w:left w:w="10" w:type="dxa"/>
          <w:bottom w:w="0" w:type="dxa"/>
          <w:right w:w="10" w:type="dxa"/>
        </w:tblCellMar>
      </w:tblPr>
      <w:tblGrid>
        <w:gridCol w:w="230"/>
        <w:gridCol w:w="153"/>
        <w:gridCol w:w="230"/>
        <w:gridCol w:w="331"/>
        <w:gridCol w:w="161"/>
        <w:gridCol w:w="621"/>
        <w:gridCol w:w="490"/>
        <w:gridCol w:w="1072"/>
        <w:gridCol w:w="120"/>
        <w:gridCol w:w="353"/>
        <w:gridCol w:w="1756"/>
        <w:gridCol w:w="479"/>
        <w:gridCol w:w="1017"/>
        <w:gridCol w:w="479"/>
        <w:gridCol w:w="1132"/>
        <w:gridCol w:w="927"/>
        <w:gridCol w:w="309"/>
        <w:gridCol w:w="1179"/>
        <w:gridCol w:w="41"/>
        <w:gridCol w:w="563"/>
        <w:gridCol w:w="287"/>
        <w:gridCol w:w="175"/>
        <w:gridCol w:w="637"/>
        <w:gridCol w:w="145"/>
        <w:gridCol w:w="689"/>
        <w:gridCol w:w="89"/>
      </w:tblGrid>
      <w:tr>
        <w:tblPrEx>
          <w:tblCellMar>
            <w:top w:w="0" w:type="dxa"/>
            <w:left w:w="10" w:type="dxa"/>
            <w:bottom w:w="0" w:type="dxa"/>
            <w:right w:w="10" w:type="dxa"/>
          </w:tblCellMar>
        </w:tblPrEx>
        <w:trPr>
          <w:trHeight w:val="328" w:hRule="exact"/>
          <w:jc w:val="right"/>
        </w:trPr>
        <w:tc>
          <w:tcPr>
            <w:tcW w:w="84" w:type="pct"/>
            <w:vMerge w:val="restart"/>
            <w:tcBorders>
              <w:top w:val="single" w:color="auto" w:sz="4" w:space="0"/>
              <w:left w:val="single" w:color="auto" w:sz="4" w:space="0"/>
            </w:tcBorders>
            <w:shd w:val="clear" w:color="auto" w:fill="FFFFFF"/>
            <w:vAlign w:val="top"/>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p>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both"/>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序号</w:t>
            </w:r>
          </w:p>
        </w:tc>
        <w:tc>
          <w:tcPr>
            <w:tcW w:w="140" w:type="pct"/>
            <w:gridSpan w:val="2"/>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pacing w:val="0"/>
                <w:w w:val="100"/>
                <w:position w:val="0"/>
                <w:sz w:val="21"/>
                <w:szCs w:val="21"/>
                <w:lang w:eastAsia="zh-CN"/>
              </w:rPr>
              <w:t>类别</w:t>
            </w:r>
          </w:p>
        </w:tc>
        <w:tc>
          <w:tcPr>
            <w:tcW w:w="180" w:type="pct"/>
            <w:gridSpan w:val="2"/>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pacing w:val="0"/>
                <w:w w:val="100"/>
                <w:position w:val="0"/>
                <w:sz w:val="21"/>
                <w:szCs w:val="21"/>
                <w:lang w:eastAsia="zh-CN"/>
              </w:rPr>
              <w:t>项目</w:t>
            </w:r>
          </w:p>
        </w:tc>
        <w:tc>
          <w:tcPr>
            <w:tcW w:w="406" w:type="pct"/>
            <w:gridSpan w:val="2"/>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工程实际重大危险源</w:t>
            </w:r>
          </w:p>
        </w:tc>
        <w:tc>
          <w:tcPr>
            <w:tcW w:w="436" w:type="pct"/>
            <w:gridSpan w:val="2"/>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可能致事故类型</w:t>
            </w:r>
          </w:p>
        </w:tc>
        <w:tc>
          <w:tcPr>
            <w:tcW w:w="129" w:type="pct"/>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风险等级</w:t>
            </w:r>
          </w:p>
        </w:tc>
        <w:tc>
          <w:tcPr>
            <w:tcW w:w="2987" w:type="pct"/>
            <w:gridSpan w:val="11"/>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风险管控措施</w:t>
            </w:r>
          </w:p>
        </w:tc>
        <w:tc>
          <w:tcPr>
            <w:tcW w:w="350" w:type="pct"/>
            <w:gridSpan w:val="3"/>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pacing w:val="0"/>
                <w:w w:val="100"/>
                <w:position w:val="0"/>
                <w:sz w:val="21"/>
                <w:szCs w:val="21"/>
              </w:rPr>
            </w:pPr>
            <w:r>
              <w:rPr>
                <w:rFonts w:hint="eastAsia" w:asciiTheme="majorEastAsia" w:hAnsiTheme="majorEastAsia" w:eastAsiaTheme="majorEastAsia" w:cstheme="majorEastAsia"/>
                <w:color w:val="auto"/>
                <w:spacing w:val="0"/>
                <w:w w:val="100"/>
                <w:position w:val="0"/>
                <w:sz w:val="21"/>
                <w:szCs w:val="21"/>
              </w:rPr>
              <w:t>管控</w:t>
            </w:r>
          </w:p>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层级</w:t>
            </w:r>
          </w:p>
        </w:tc>
        <w:tc>
          <w:tcPr>
            <w:tcW w:w="284" w:type="pct"/>
            <w:gridSpan w:val="2"/>
            <w:vMerge w:val="restart"/>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管控责</w:t>
            </w:r>
          </w:p>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任人</w:t>
            </w:r>
          </w:p>
        </w:tc>
      </w:tr>
      <w:tr>
        <w:tblPrEx>
          <w:tblCellMar>
            <w:top w:w="0" w:type="dxa"/>
            <w:left w:w="10" w:type="dxa"/>
            <w:bottom w:w="0" w:type="dxa"/>
            <w:right w:w="10" w:type="dxa"/>
          </w:tblCellMar>
        </w:tblPrEx>
        <w:trPr>
          <w:trHeight w:val="781" w:hRule="exact"/>
          <w:jc w:val="right"/>
        </w:trPr>
        <w:tc>
          <w:tcPr>
            <w:tcW w:w="84" w:type="pct"/>
            <w:vMerge w:val="continue"/>
            <w:tcBorders>
              <w:lef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140" w:type="pct"/>
            <w:gridSpan w:val="2"/>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180" w:type="pct"/>
            <w:gridSpan w:val="2"/>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406" w:type="pct"/>
            <w:gridSpan w:val="2"/>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436" w:type="pct"/>
            <w:gridSpan w:val="2"/>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129"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81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工程技术指蘇</w:t>
            </w:r>
          </w:p>
        </w:tc>
        <w:tc>
          <w:tcPr>
            <w:tcW w:w="54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管理措施</w:t>
            </w:r>
          </w:p>
        </w:tc>
        <w:tc>
          <w:tcPr>
            <w:tcW w:w="753"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培训数育措施</w:t>
            </w:r>
          </w:p>
        </w:tc>
        <w:tc>
          <w:tcPr>
            <w:tcW w:w="559" w:type="pct"/>
            <w:gridSpan w:val="3"/>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个体防护措施</w:t>
            </w:r>
          </w:p>
        </w:tc>
        <w:tc>
          <w:tcPr>
            <w:tcW w:w="310"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应急处置</w:t>
            </w:r>
            <w:r>
              <w:rPr>
                <w:rFonts w:hint="eastAsia" w:asciiTheme="majorEastAsia" w:hAnsiTheme="majorEastAsia" w:eastAsiaTheme="majorEastAsia" w:cstheme="majorEastAsia"/>
                <w:color w:val="auto"/>
                <w:spacing w:val="0"/>
                <w:w w:val="100"/>
                <w:position w:val="0"/>
                <w:sz w:val="21"/>
                <w:szCs w:val="21"/>
                <w:lang w:eastAsia="zh-CN"/>
              </w:rPr>
              <w:t>措</w:t>
            </w:r>
            <w:r>
              <w:rPr>
                <w:rFonts w:hint="eastAsia" w:asciiTheme="majorEastAsia" w:hAnsiTheme="majorEastAsia" w:eastAsiaTheme="majorEastAsia" w:cstheme="majorEastAsia"/>
                <w:color w:val="auto"/>
                <w:spacing w:val="0"/>
                <w:w w:val="100"/>
                <w:position w:val="0"/>
                <w:sz w:val="21"/>
                <w:szCs w:val="21"/>
              </w:rPr>
              <w:t>施</w:t>
            </w:r>
          </w:p>
        </w:tc>
        <w:tc>
          <w:tcPr>
            <w:tcW w:w="350" w:type="pct"/>
            <w:gridSpan w:val="3"/>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284" w:type="pct"/>
            <w:gridSpan w:val="2"/>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r>
      <w:tr>
        <w:tblPrEx>
          <w:tblCellMar>
            <w:top w:w="0" w:type="dxa"/>
            <w:left w:w="10" w:type="dxa"/>
            <w:bottom w:w="0" w:type="dxa"/>
            <w:right w:w="10" w:type="dxa"/>
          </w:tblCellMar>
        </w:tblPrEx>
        <w:trPr>
          <w:trHeight w:val="2483" w:hRule="exact"/>
          <w:jc w:val="right"/>
        </w:trPr>
        <w:tc>
          <w:tcPr>
            <w:tcW w:w="84"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1</w:t>
            </w:r>
          </w:p>
        </w:tc>
        <w:tc>
          <w:tcPr>
            <w:tcW w:w="140"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000000" w:themeColor="text1"/>
                <w:spacing w:val="0"/>
                <w:w w:val="100"/>
                <w:position w:val="0"/>
                <w:sz w:val="21"/>
                <w:szCs w:val="21"/>
                <w14:textFill>
                  <w14:solidFill>
                    <w14:schemeClr w14:val="tx1"/>
                  </w14:solidFill>
                </w14:textFill>
              </w:rPr>
              <w:t>机械设备类</w:t>
            </w:r>
          </w:p>
        </w:tc>
        <w:tc>
          <w:tcPr>
            <w:tcW w:w="180"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闸门及水泵安装</w:t>
            </w:r>
          </w:p>
        </w:tc>
        <w:tc>
          <w:tcPr>
            <w:tcW w:w="406"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闸门及水泵安装</w:t>
            </w:r>
          </w:p>
        </w:tc>
        <w:tc>
          <w:tcPr>
            <w:tcW w:w="436"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坍</w:t>
            </w:r>
            <w:r>
              <w:rPr>
                <w:rFonts w:hint="eastAsia" w:asciiTheme="majorEastAsia" w:hAnsiTheme="majorEastAsia" w:eastAsiaTheme="majorEastAsia" w:cstheme="majorEastAsia"/>
                <w:color w:val="000000" w:themeColor="text1"/>
                <w:spacing w:val="0"/>
                <w:w w:val="100"/>
                <w:position w:val="0"/>
                <w:sz w:val="21"/>
                <w:szCs w:val="21"/>
                <w14:textFill>
                  <w14:solidFill>
                    <w14:schemeClr w14:val="tx1"/>
                  </w14:solidFill>
                </w14:textFill>
              </w:rPr>
              <w:t>物体打击、起重伤害、高处坠落</w:t>
            </w:r>
          </w:p>
        </w:tc>
        <w:tc>
          <w:tcPr>
            <w:tcW w:w="129" w:type="pct"/>
            <w:tcBorders>
              <w:top w:val="single" w:color="auto" w:sz="4" w:space="0"/>
              <w:left w:val="single" w:color="auto" w:sz="4" w:space="0"/>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pacing w:val="0"/>
                <w:w w:val="100"/>
                <w:position w:val="0"/>
                <w:sz w:val="21"/>
                <w:szCs w:val="21"/>
              </w:rPr>
            </w:pPr>
          </w:p>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pacing w:val="0"/>
                <w:w w:val="100"/>
                <w:position w:val="0"/>
                <w:sz w:val="21"/>
                <w:szCs w:val="21"/>
              </w:rPr>
            </w:pPr>
          </w:p>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重大风险</w:t>
            </w:r>
          </w:p>
        </w:tc>
        <w:tc>
          <w:tcPr>
            <w:tcW w:w="81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pacing w:before="0" w:after="0" w:line="240" w:lineRule="exact"/>
              <w:ind w:left="0" w:leftChars="0" w:right="0" w:rightChars="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作业前应检查工具、索具、标准节、螺栓、钢丝绳、安全装置等各种设施是否安全可靠。</w:t>
            </w:r>
          </w:p>
        </w:tc>
        <w:tc>
          <w:tcPr>
            <w:tcW w:w="54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检查工具、索具、标准节、螺栓、钢丝绳、安全装置等各种设施，不符合要求不得吊运。</w:t>
            </w:r>
          </w:p>
        </w:tc>
        <w:tc>
          <w:tcPr>
            <w:tcW w:w="753" w:type="pct"/>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559" w:type="pct"/>
            <w:gridSpan w:val="3"/>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作业人员正确侃戴安全防护用具。</w:t>
            </w:r>
          </w:p>
        </w:tc>
        <w:tc>
          <w:tcPr>
            <w:tcW w:w="310" w:type="pct"/>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350" w:type="pct"/>
            <w:gridSpan w:val="3"/>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公司级</w:t>
            </w:r>
          </w:p>
        </w:tc>
        <w:tc>
          <w:tcPr>
            <w:tcW w:w="284" w:type="pct"/>
            <w:gridSpan w:val="2"/>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王林</w:t>
            </w:r>
          </w:p>
        </w:tc>
      </w:tr>
      <w:tr>
        <w:tblPrEx>
          <w:tblCellMar>
            <w:top w:w="0" w:type="dxa"/>
            <w:left w:w="10" w:type="dxa"/>
            <w:bottom w:w="0" w:type="dxa"/>
            <w:right w:w="10" w:type="dxa"/>
          </w:tblCellMar>
        </w:tblPrEx>
        <w:trPr>
          <w:trHeight w:val="1282" w:hRule="exact"/>
          <w:jc w:val="right"/>
        </w:trPr>
        <w:tc>
          <w:tcPr>
            <w:tcW w:w="84"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2</w:t>
            </w:r>
          </w:p>
        </w:tc>
        <w:tc>
          <w:tcPr>
            <w:tcW w:w="140" w:type="pct"/>
            <w:gridSpan w:val="2"/>
            <w:vMerge w:val="restar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设施场所类</w:t>
            </w:r>
          </w:p>
        </w:tc>
        <w:tc>
          <w:tcPr>
            <w:tcW w:w="180"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供电系统</w:t>
            </w:r>
          </w:p>
        </w:tc>
        <w:tc>
          <w:tcPr>
            <w:tcW w:w="406"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用电设备超过5台的临时用电工程</w:t>
            </w:r>
          </w:p>
        </w:tc>
        <w:tc>
          <w:tcPr>
            <w:tcW w:w="436"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触电</w:t>
            </w:r>
          </w:p>
        </w:tc>
        <w:tc>
          <w:tcPr>
            <w:tcW w:w="129" w:type="pct"/>
            <w:tcBorders>
              <w:top w:val="single" w:color="auto" w:sz="4" w:space="0"/>
              <w:left w:val="single" w:color="auto" w:sz="4" w:space="0"/>
            </w:tcBorders>
            <w:shd w:val="clear" w:color="auto" w:fill="FFFFFF" w:themeFill="background1"/>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重大风险</w:t>
            </w:r>
          </w:p>
        </w:tc>
        <w:tc>
          <w:tcPr>
            <w:tcW w:w="81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根据临时用电施工组织设计要求设置配电装置和敷设电气线路。</w:t>
            </w:r>
          </w:p>
        </w:tc>
        <w:tc>
          <w:tcPr>
            <w:tcW w:w="547"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numPr>
                <w:ilvl w:val="0"/>
                <w:numId w:val="0"/>
              </w:numPr>
              <w:shd w:val="clear" w:color="auto" w:fill="auto"/>
              <w:tabs>
                <w:tab w:val="left" w:pos="154"/>
              </w:tabs>
              <w:kinsoku/>
              <w:wordWrap/>
              <w:overflowPunct/>
              <w:topLinePunct w:val="0"/>
              <w:autoSpaceDE/>
              <w:autoSpaceDN/>
              <w:bidi w:val="0"/>
              <w:adjustRightInd/>
              <w:spacing w:before="0" w:after="0" w:line="240" w:lineRule="exact"/>
              <w:ind w:left="0" w:leftChars="0" w:right="0" w:rightChars="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施工人员自检、定期检查；</w:t>
            </w:r>
          </w:p>
          <w:p>
            <w:pPr>
              <w:pStyle w:val="22"/>
              <w:keepNext w:val="0"/>
              <w:keepLines w:val="0"/>
              <w:pageBreakBefore w:val="0"/>
              <w:widowControl w:val="0"/>
              <w:numPr>
                <w:ilvl w:val="0"/>
                <w:numId w:val="0"/>
              </w:numPr>
              <w:shd w:val="clear" w:color="auto" w:fill="auto"/>
              <w:tabs>
                <w:tab w:val="left" w:pos="163"/>
              </w:tabs>
              <w:kinsoku/>
              <w:wordWrap/>
              <w:overflowPunct/>
              <w:topLinePunct w:val="0"/>
              <w:autoSpaceDE/>
              <w:autoSpaceDN/>
              <w:bidi w:val="0"/>
              <w:adjustRightInd/>
              <w:spacing w:before="0" w:after="0" w:line="240" w:lineRule="exact"/>
              <w:ind w:left="0" w:leftChars="0" w:right="0" w:rightChars="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由项目部安全员定期进行检查。</w:t>
            </w:r>
          </w:p>
        </w:tc>
        <w:tc>
          <w:tcPr>
            <w:tcW w:w="753" w:type="pct"/>
            <w:gridSpan w:val="2"/>
            <w:tcBorders>
              <w:top w:val="single" w:color="auto" w:sz="4" w:space="0"/>
              <w:left w:val="single" w:color="auto" w:sz="4" w:space="0"/>
            </w:tcBorders>
            <w:shd w:val="clear" w:color="auto" w:fill="FFFFFF"/>
            <w:vAlign w:val="center"/>
          </w:tcPr>
          <w:p>
            <w:pPr>
              <w:pStyle w:val="22"/>
              <w:keepNext w:val="0"/>
              <w:keepLines w:val="0"/>
              <w:pageBreakBefore w:val="0"/>
              <w:widowControl w:val="0"/>
              <w:numPr>
                <w:ilvl w:val="0"/>
                <w:numId w:val="0"/>
              </w:numPr>
              <w:shd w:val="clear" w:color="auto" w:fill="auto"/>
              <w:tabs>
                <w:tab w:val="left" w:pos="130"/>
              </w:tabs>
              <w:kinsoku/>
              <w:wordWrap/>
              <w:overflowPunct/>
              <w:topLinePunct w:val="0"/>
              <w:autoSpaceDE/>
              <w:autoSpaceDN/>
              <w:bidi w:val="0"/>
              <w:adjustRightInd/>
              <w:spacing w:before="0" w:after="0" w:line="240" w:lineRule="exact"/>
              <w:ind w:left="0" w:leftChars="0" w:right="0" w:rightChars="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进场前安全教育；</w:t>
            </w:r>
          </w:p>
          <w:p>
            <w:pPr>
              <w:pStyle w:val="22"/>
              <w:keepNext w:val="0"/>
              <w:keepLines w:val="0"/>
              <w:pageBreakBefore w:val="0"/>
              <w:widowControl w:val="0"/>
              <w:numPr>
                <w:ilvl w:val="0"/>
                <w:numId w:val="0"/>
              </w:numPr>
              <w:shd w:val="clear" w:color="auto" w:fill="auto"/>
              <w:tabs>
                <w:tab w:val="left" w:pos="168"/>
              </w:tabs>
              <w:kinsoku/>
              <w:wordWrap/>
              <w:overflowPunct/>
              <w:topLinePunct w:val="0"/>
              <w:autoSpaceDE/>
              <w:autoSpaceDN/>
              <w:bidi w:val="0"/>
              <w:adjustRightInd/>
              <w:spacing w:before="0" w:after="0" w:line="240" w:lineRule="exact"/>
              <w:ind w:left="0" w:leftChars="0" w:right="0" w:rightChars="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特殊工种安全教育；</w:t>
            </w:r>
          </w:p>
          <w:p>
            <w:pPr>
              <w:pStyle w:val="22"/>
              <w:keepNext w:val="0"/>
              <w:keepLines w:val="0"/>
              <w:pageBreakBefore w:val="0"/>
              <w:widowControl w:val="0"/>
              <w:numPr>
                <w:ilvl w:val="0"/>
                <w:numId w:val="2"/>
              </w:numPr>
              <w:shd w:val="clear" w:color="auto" w:fill="auto"/>
              <w:tabs>
                <w:tab w:val="left" w:pos="144"/>
              </w:tabs>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持证上岗。</w:t>
            </w:r>
          </w:p>
        </w:tc>
        <w:tc>
          <w:tcPr>
            <w:tcW w:w="559" w:type="pct"/>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310" w:type="pct"/>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350" w:type="pct"/>
            <w:gridSpan w:val="3"/>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公司级</w:t>
            </w:r>
          </w:p>
        </w:tc>
        <w:tc>
          <w:tcPr>
            <w:tcW w:w="284" w:type="pct"/>
            <w:gridSpan w:val="2"/>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王林</w:t>
            </w:r>
          </w:p>
        </w:tc>
      </w:tr>
      <w:tr>
        <w:tblPrEx>
          <w:tblCellMar>
            <w:top w:w="0" w:type="dxa"/>
            <w:left w:w="10" w:type="dxa"/>
            <w:bottom w:w="0" w:type="dxa"/>
            <w:right w:w="10" w:type="dxa"/>
          </w:tblCellMar>
        </w:tblPrEx>
        <w:trPr>
          <w:trHeight w:val="2372" w:hRule="exact"/>
          <w:jc w:val="right"/>
        </w:trPr>
        <w:tc>
          <w:tcPr>
            <w:tcW w:w="84" w:type="pct"/>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3</w:t>
            </w:r>
          </w:p>
        </w:tc>
        <w:tc>
          <w:tcPr>
            <w:tcW w:w="140" w:type="pct"/>
            <w:gridSpan w:val="2"/>
            <w:vMerge w:val="continue"/>
            <w:tcBorders>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180"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基坑</w:t>
            </w:r>
          </w:p>
        </w:tc>
        <w:tc>
          <w:tcPr>
            <w:tcW w:w="406"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pacing w:val="0"/>
                <w:w w:val="100"/>
                <w:position w:val="0"/>
                <w:sz w:val="21"/>
                <w:szCs w:val="21"/>
                <w:lang w:eastAsia="zh-CN"/>
              </w:rPr>
              <w:t>闸底板开挖</w:t>
            </w:r>
          </w:p>
        </w:tc>
        <w:tc>
          <w:tcPr>
            <w:tcW w:w="436"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塌陷、滑坡</w:t>
            </w:r>
          </w:p>
        </w:tc>
        <w:tc>
          <w:tcPr>
            <w:tcW w:w="129" w:type="pct"/>
            <w:tcBorders>
              <w:top w:val="single" w:color="auto" w:sz="4" w:space="0"/>
              <w:left w:val="single" w:color="auto" w:sz="4" w:space="0"/>
              <w:bottom w:val="single" w:color="auto" w:sz="4" w:space="0"/>
            </w:tcBorders>
            <w:shd w:val="clear" w:color="auto" w:fill="FFFFFF" w:themeFill="background1"/>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重大风险</w:t>
            </w:r>
          </w:p>
        </w:tc>
        <w:tc>
          <w:tcPr>
            <w:tcW w:w="817"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lang w:eastAsia="zh-CN"/>
              </w:rPr>
              <w:t>基坑周围</w:t>
            </w:r>
            <w:r>
              <w:rPr>
                <w:rFonts w:hint="eastAsia" w:asciiTheme="majorEastAsia" w:hAnsiTheme="majorEastAsia" w:eastAsiaTheme="majorEastAsia" w:cstheme="majorEastAsia"/>
                <w:color w:val="auto"/>
                <w:spacing w:val="0"/>
                <w:w w:val="100"/>
                <w:position w:val="0"/>
                <w:sz w:val="21"/>
                <w:szCs w:val="21"/>
              </w:rPr>
              <w:t>必须按临边作业要求设置防护栏杆。</w:t>
            </w:r>
          </w:p>
        </w:tc>
        <w:tc>
          <w:tcPr>
            <w:tcW w:w="547"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numPr>
                <w:ilvl w:val="0"/>
                <w:numId w:val="3"/>
              </w:numPr>
              <w:shd w:val="clear" w:color="auto" w:fill="auto"/>
              <w:tabs>
                <w:tab w:val="left" w:pos="149"/>
              </w:tabs>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lang w:eastAsia="zh-CN"/>
              </w:rPr>
              <w:t>基坑</w:t>
            </w:r>
            <w:r>
              <w:rPr>
                <w:rFonts w:hint="eastAsia" w:asciiTheme="majorEastAsia" w:hAnsiTheme="majorEastAsia" w:eastAsiaTheme="majorEastAsia" w:cstheme="majorEastAsia"/>
                <w:color w:val="auto"/>
                <w:spacing w:val="0"/>
                <w:w w:val="100"/>
                <w:position w:val="0"/>
                <w:sz w:val="21"/>
                <w:szCs w:val="21"/>
              </w:rPr>
              <w:t>工程范围内严禁非操作人员入内。</w:t>
            </w:r>
          </w:p>
          <w:p>
            <w:pPr>
              <w:pStyle w:val="22"/>
              <w:keepNext w:val="0"/>
              <w:keepLines w:val="0"/>
              <w:pageBreakBefore w:val="0"/>
              <w:widowControl w:val="0"/>
              <w:numPr>
                <w:ilvl w:val="0"/>
                <w:numId w:val="3"/>
              </w:numPr>
              <w:shd w:val="clear" w:color="auto" w:fill="auto"/>
              <w:tabs>
                <w:tab w:val="left" w:pos="154"/>
              </w:tabs>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防护栏杆由专人进行定期检查，发现防护栏杆不符合要求的立即整改。</w:t>
            </w:r>
          </w:p>
        </w:tc>
        <w:tc>
          <w:tcPr>
            <w:tcW w:w="753" w:type="pct"/>
            <w:gridSpan w:val="2"/>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对施工现场工人进行进场安全教育。</w:t>
            </w:r>
          </w:p>
        </w:tc>
        <w:tc>
          <w:tcPr>
            <w:tcW w:w="559" w:type="pct"/>
            <w:gridSpan w:val="3"/>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作业人员正确佩戴安全帽，穿防</w:t>
            </w:r>
            <w:r>
              <w:rPr>
                <w:rFonts w:hint="eastAsia" w:asciiTheme="majorEastAsia" w:hAnsiTheme="majorEastAsia" w:eastAsiaTheme="majorEastAsia" w:cstheme="majorEastAsia"/>
                <w:color w:val="auto"/>
                <w:spacing w:val="0"/>
                <w:w w:val="100"/>
                <w:position w:val="0"/>
                <w:sz w:val="21"/>
                <w:szCs w:val="21"/>
                <w:lang w:val="zh-CN" w:eastAsia="zh-CN" w:bidi="zh-CN"/>
              </w:rPr>
              <w:t>滑鞋.</w:t>
            </w:r>
          </w:p>
        </w:tc>
        <w:tc>
          <w:tcPr>
            <w:tcW w:w="310" w:type="pct"/>
            <w:gridSpan w:val="2"/>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pacing w:before="0" w:after="0" w:line="240" w:lineRule="exact"/>
              <w:ind w:left="0" w:firstLine="0"/>
              <w:jc w:val="center"/>
              <w:rPr>
                <w:rFonts w:hint="eastAsia" w:asciiTheme="majorEastAsia" w:hAnsiTheme="majorEastAsia" w:eastAsiaTheme="majorEastAsia" w:cstheme="majorEastAsia"/>
                <w:color w:val="auto"/>
                <w:sz w:val="21"/>
                <w:szCs w:val="21"/>
              </w:rPr>
            </w:pPr>
          </w:p>
        </w:tc>
        <w:tc>
          <w:tcPr>
            <w:tcW w:w="350" w:type="pct"/>
            <w:gridSpan w:val="3"/>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w w:val="100"/>
                <w:position w:val="0"/>
                <w:sz w:val="21"/>
                <w:szCs w:val="21"/>
              </w:rPr>
              <w:t>公司级</w:t>
            </w:r>
          </w:p>
        </w:tc>
        <w:tc>
          <w:tcPr>
            <w:tcW w:w="2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wordWrap/>
              <w:overflowPunct/>
              <w:topLinePunct w:val="0"/>
              <w:autoSpaceDE/>
              <w:autoSpaceDN/>
              <w:bidi w:val="0"/>
              <w:adjustRightInd/>
              <w:spacing w:before="0" w:after="0" w:line="240" w:lineRule="exact"/>
              <w:ind w:left="0" w:right="0" w:firstLine="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王林</w:t>
            </w:r>
          </w:p>
        </w:tc>
      </w:tr>
      <w:tr>
        <w:tblPrEx>
          <w:tblCellMar>
            <w:top w:w="15" w:type="dxa"/>
            <w:left w:w="15" w:type="dxa"/>
            <w:bottom w:w="15" w:type="dxa"/>
            <w:right w:w="15" w:type="dxa"/>
          </w:tblCellMar>
        </w:tblPrEx>
        <w:trPr>
          <w:gridAfter w:val="1"/>
          <w:wAfter w:w="32" w:type="pct"/>
          <w:trHeight w:val="532" w:hRule="atLeast"/>
          <w:tblHeader/>
          <w:jc w:val="center"/>
        </w:trPr>
        <w:tc>
          <w:tcPr>
            <w:tcW w:w="140" w:type="pct"/>
            <w:gridSpan w:val="2"/>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kern w:val="0"/>
                <w:sz w:val="21"/>
                <w:szCs w:val="21"/>
              </w:rPr>
              <w:t>序号</w:t>
            </w:r>
          </w:p>
        </w:tc>
        <w:tc>
          <w:tcPr>
            <w:tcW w:w="205"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kern w:val="0"/>
                <w:sz w:val="21"/>
                <w:szCs w:val="21"/>
              </w:rPr>
              <w:t>类别</w:t>
            </w:r>
          </w:p>
        </w:tc>
        <w:tc>
          <w:tcPr>
            <w:tcW w:w="286" w:type="pct"/>
            <w:gridSpan w:val="2"/>
            <w:vMerge w:val="restart"/>
            <w:tcBorders>
              <w:top w:val="single" w:color="000000"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项目</w:t>
            </w:r>
          </w:p>
        </w:tc>
        <w:tc>
          <w:tcPr>
            <w:tcW w:w="571" w:type="pct"/>
            <w:gridSpan w:val="2"/>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lang w:eastAsia="zh-CN"/>
              </w:rPr>
              <w:t>工程实际一般危险源</w:t>
            </w:r>
          </w:p>
        </w:tc>
        <w:tc>
          <w:tcPr>
            <w:tcW w:w="815" w:type="pct"/>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lang w:eastAsia="zh-CN"/>
              </w:rPr>
              <w:t>可能导致的类型</w:t>
            </w:r>
          </w:p>
        </w:tc>
        <w:tc>
          <w:tcPr>
            <w:tcW w:w="547" w:type="pct"/>
            <w:gridSpan w:val="2"/>
            <w:vMerge w:val="restart"/>
            <w:tcBorders>
              <w:top w:val="single" w:color="000000"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kern w:val="0"/>
                <w:sz w:val="21"/>
                <w:szCs w:val="21"/>
              </w:rPr>
              <w:t>风险等级</w:t>
            </w:r>
          </w:p>
        </w:tc>
        <w:tc>
          <w:tcPr>
            <w:tcW w:w="1862" w:type="pct"/>
            <w:gridSpan w:val="9"/>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控制措施</w:t>
            </w:r>
          </w:p>
        </w:tc>
        <w:tc>
          <w:tcPr>
            <w:tcW w:w="233" w:type="pct"/>
            <w:vMerge w:val="restart"/>
            <w:tcBorders>
              <w:top w:val="single" w:color="000000"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管控层级</w:t>
            </w:r>
          </w:p>
        </w:tc>
        <w:tc>
          <w:tcPr>
            <w:tcW w:w="305" w:type="pct"/>
            <w:gridSpan w:val="2"/>
            <w:tcBorders>
              <w:top w:val="single" w:color="000000"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bCs/>
                <w:kern w:val="0"/>
                <w:sz w:val="21"/>
                <w:szCs w:val="21"/>
              </w:rPr>
            </w:pPr>
          </w:p>
        </w:tc>
      </w:tr>
      <w:tr>
        <w:tblPrEx>
          <w:tblCellMar>
            <w:top w:w="15" w:type="dxa"/>
            <w:left w:w="15" w:type="dxa"/>
            <w:bottom w:w="15" w:type="dxa"/>
            <w:right w:w="15" w:type="dxa"/>
          </w:tblCellMar>
        </w:tblPrEx>
        <w:trPr>
          <w:gridAfter w:val="1"/>
          <w:wAfter w:w="32" w:type="pct"/>
          <w:trHeight w:val="90" w:hRule="atLeast"/>
          <w:tblHeader/>
          <w:jc w:val="center"/>
        </w:trPr>
        <w:tc>
          <w:tcPr>
            <w:tcW w:w="140" w:type="pct"/>
            <w:gridSpan w:val="2"/>
            <w:vMerge w:val="continue"/>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sz w:val="21"/>
                <w:szCs w:val="21"/>
              </w:rPr>
            </w:pPr>
          </w:p>
        </w:tc>
        <w:tc>
          <w:tcPr>
            <w:tcW w:w="205" w:type="pct"/>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sz w:val="21"/>
                <w:szCs w:val="21"/>
              </w:rPr>
            </w:pPr>
          </w:p>
        </w:tc>
        <w:tc>
          <w:tcPr>
            <w:tcW w:w="286" w:type="pct"/>
            <w:gridSpan w:val="2"/>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sz w:val="21"/>
                <w:szCs w:val="21"/>
              </w:rPr>
            </w:pPr>
          </w:p>
        </w:tc>
        <w:tc>
          <w:tcPr>
            <w:tcW w:w="571" w:type="pct"/>
            <w:gridSpan w:val="2"/>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left"/>
              <w:rPr>
                <w:rFonts w:hint="eastAsia" w:asciiTheme="majorEastAsia" w:hAnsiTheme="majorEastAsia" w:eastAsiaTheme="majorEastAsia" w:cstheme="majorEastAsia"/>
                <w:b/>
                <w:sz w:val="21"/>
                <w:szCs w:val="21"/>
              </w:rPr>
            </w:pPr>
          </w:p>
        </w:tc>
        <w:tc>
          <w:tcPr>
            <w:tcW w:w="815" w:type="pct"/>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b/>
                <w:sz w:val="21"/>
                <w:szCs w:val="21"/>
              </w:rPr>
            </w:pPr>
          </w:p>
        </w:tc>
        <w:tc>
          <w:tcPr>
            <w:tcW w:w="547" w:type="pct"/>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p>
        </w:tc>
        <w:tc>
          <w:tcPr>
            <w:tcW w:w="589" w:type="pct"/>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工程技术措施</w:t>
            </w:r>
          </w:p>
        </w:tc>
        <w:tc>
          <w:tcPr>
            <w:tcW w:w="452"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管理措施</w:t>
            </w:r>
          </w:p>
        </w:tc>
        <w:tc>
          <w:tcPr>
            <w:tcW w:w="43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培训教育措施</w:t>
            </w:r>
          </w:p>
        </w:tc>
        <w:tc>
          <w:tcPr>
            <w:tcW w:w="221" w:type="pct"/>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个体防护措施</w:t>
            </w:r>
          </w:p>
        </w:tc>
        <w:tc>
          <w:tcPr>
            <w:tcW w:w="168" w:type="pct"/>
            <w:gridSpan w:val="2"/>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kern w:val="0"/>
                <w:sz w:val="21"/>
                <w:szCs w:val="21"/>
              </w:rPr>
              <w:t>应急处置措施</w:t>
            </w:r>
          </w:p>
        </w:tc>
        <w:tc>
          <w:tcPr>
            <w:tcW w:w="233" w:type="pct"/>
            <w:vMerge w:val="continue"/>
            <w:tcBorders>
              <w:left w:val="single" w:color="auto"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bCs/>
                <w:kern w:val="0"/>
                <w:sz w:val="21"/>
                <w:szCs w:val="21"/>
              </w:rPr>
            </w:pPr>
          </w:p>
        </w:tc>
        <w:tc>
          <w:tcPr>
            <w:tcW w:w="305" w:type="pct"/>
            <w:gridSpan w:val="2"/>
            <w:tcBorders>
              <w:left w:val="single" w:color="auto"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b/>
                <w:bCs/>
                <w:kern w:val="0"/>
                <w:sz w:val="21"/>
                <w:szCs w:val="21"/>
                <w:lang w:eastAsia="zh-CN"/>
              </w:rPr>
            </w:pPr>
            <w:r>
              <w:rPr>
                <w:rFonts w:hint="eastAsia" w:asciiTheme="majorEastAsia" w:hAnsiTheme="majorEastAsia" w:eastAsiaTheme="majorEastAsia" w:cstheme="majorEastAsia"/>
                <w:b/>
                <w:bCs/>
                <w:kern w:val="0"/>
                <w:sz w:val="21"/>
                <w:szCs w:val="21"/>
                <w:lang w:eastAsia="zh-CN"/>
              </w:rPr>
              <w:t>管控责任人</w:t>
            </w:r>
          </w:p>
        </w:tc>
      </w:tr>
      <w:tr>
        <w:tblPrEx>
          <w:tblCellMar>
            <w:top w:w="15" w:type="dxa"/>
            <w:left w:w="15" w:type="dxa"/>
            <w:bottom w:w="15" w:type="dxa"/>
            <w:right w:w="15" w:type="dxa"/>
          </w:tblCellMar>
        </w:tblPrEx>
        <w:trPr>
          <w:gridAfter w:val="1"/>
          <w:wAfter w:w="32" w:type="pct"/>
          <w:trHeight w:val="467" w:hRule="atLeast"/>
          <w:jc w:val="center"/>
        </w:trPr>
        <w:tc>
          <w:tcPr>
            <w:tcW w:w="140" w:type="pct"/>
            <w:gridSpan w:val="2"/>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w:t>
            </w:r>
          </w:p>
        </w:tc>
        <w:tc>
          <w:tcPr>
            <w:tcW w:w="205"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eastAsia="zh-CN"/>
              </w:rPr>
              <w:t>施工</w:t>
            </w:r>
            <w:r>
              <w:rPr>
                <w:rFonts w:hint="eastAsia" w:asciiTheme="majorEastAsia" w:hAnsiTheme="majorEastAsia" w:eastAsiaTheme="majorEastAsia" w:cstheme="majorEastAsia"/>
                <w:kern w:val="0"/>
                <w:sz w:val="21"/>
                <w:szCs w:val="21"/>
              </w:rPr>
              <w:t>作业</w:t>
            </w:r>
          </w:p>
        </w:tc>
        <w:tc>
          <w:tcPr>
            <w:tcW w:w="286" w:type="pct"/>
            <w:gridSpan w:val="2"/>
            <w:tcBorders>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both"/>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钢筋工程</w:t>
            </w:r>
          </w:p>
        </w:tc>
        <w:tc>
          <w:tcPr>
            <w:tcW w:w="571" w:type="pct"/>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电线老化，操作不当</w:t>
            </w:r>
          </w:p>
        </w:tc>
        <w:tc>
          <w:tcPr>
            <w:tcW w:w="815" w:type="pct"/>
            <w:gridSpan w:val="3"/>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火灾、触电事故</w:t>
            </w:r>
          </w:p>
        </w:tc>
        <w:tc>
          <w:tcPr>
            <w:tcW w:w="54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较大风险</w:t>
            </w:r>
          </w:p>
        </w:tc>
        <w:tc>
          <w:tcPr>
            <w:tcW w:w="589" w:type="pct"/>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52" w:type="pct"/>
            <w:gridSpan w:val="2"/>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对作业人员进行安全技术交底</w:t>
            </w:r>
          </w:p>
        </w:tc>
        <w:tc>
          <w:tcPr>
            <w:tcW w:w="431" w:type="pc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项目部管控</w:t>
            </w:r>
          </w:p>
        </w:tc>
        <w:tc>
          <w:tcPr>
            <w:tcW w:w="305" w:type="pct"/>
            <w:gridSpan w:val="2"/>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r>
        <w:tblPrEx>
          <w:tblCellMar>
            <w:top w:w="15" w:type="dxa"/>
            <w:left w:w="15" w:type="dxa"/>
            <w:bottom w:w="15" w:type="dxa"/>
            <w:right w:w="15" w:type="dxa"/>
          </w:tblCellMar>
        </w:tblPrEx>
        <w:trPr>
          <w:gridAfter w:val="1"/>
          <w:wAfter w:w="32" w:type="pct"/>
          <w:trHeight w:val="526" w:hRule="atLeast"/>
          <w:jc w:val="center"/>
        </w:trPr>
        <w:tc>
          <w:tcPr>
            <w:tcW w:w="140" w:type="pct"/>
            <w:gridSpan w:val="2"/>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c>
          <w:tcPr>
            <w:tcW w:w="205" w:type="pct"/>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p>
        </w:tc>
        <w:tc>
          <w:tcPr>
            <w:tcW w:w="286" w:type="pct"/>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both"/>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lang w:eastAsia="zh-CN"/>
              </w:rPr>
              <w:t>混凝土浇筑</w:t>
            </w:r>
          </w:p>
        </w:tc>
        <w:tc>
          <w:tcPr>
            <w:tcW w:w="571"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before="0" w:after="0" w:line="240" w:lineRule="exact"/>
              <w:ind w:left="0" w:leftChars="0" w:right="0" w:rightChars="0" w:firstLine="0" w:firstLineChars="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浇筑</w:t>
            </w:r>
          </w:p>
        </w:tc>
        <w:tc>
          <w:tcPr>
            <w:tcW w:w="815" w:type="pct"/>
            <w:gridSpan w:val="3"/>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before="0" w:after="0" w:line="240" w:lineRule="exact"/>
              <w:ind w:left="0" w:leftChars="0" w:right="0" w:rightChars="0" w:firstLine="0" w:firstLineChars="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物体打击、机械伤害</w:t>
            </w:r>
          </w:p>
        </w:tc>
        <w:tc>
          <w:tcPr>
            <w:tcW w:w="547" w:type="pct"/>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eastAsia="zh-CN"/>
              </w:rPr>
              <w:t>较大</w:t>
            </w:r>
            <w:r>
              <w:rPr>
                <w:rFonts w:hint="eastAsia" w:asciiTheme="majorEastAsia" w:hAnsiTheme="majorEastAsia" w:eastAsiaTheme="majorEastAsia" w:cstheme="majorEastAsia"/>
                <w:kern w:val="0"/>
                <w:sz w:val="21"/>
                <w:szCs w:val="21"/>
              </w:rPr>
              <w:t>风险</w:t>
            </w:r>
          </w:p>
        </w:tc>
        <w:tc>
          <w:tcPr>
            <w:tcW w:w="58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lang w:val="en-US" w:eastAsia="zh-CN"/>
              </w:rPr>
              <w:t>作业前进行安全技术交底，设置安全警示标志</w:t>
            </w:r>
          </w:p>
        </w:tc>
        <w:tc>
          <w:tcPr>
            <w:tcW w:w="452"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3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项目管部控</w:t>
            </w:r>
          </w:p>
        </w:tc>
        <w:tc>
          <w:tcPr>
            <w:tcW w:w="305"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r>
        <w:tblPrEx>
          <w:tblCellMar>
            <w:top w:w="15" w:type="dxa"/>
            <w:left w:w="15" w:type="dxa"/>
            <w:bottom w:w="15" w:type="dxa"/>
            <w:right w:w="15" w:type="dxa"/>
          </w:tblCellMar>
        </w:tblPrEx>
        <w:trPr>
          <w:gridAfter w:val="1"/>
          <w:wAfter w:w="32" w:type="pct"/>
          <w:trHeight w:val="741" w:hRule="atLeast"/>
          <w:jc w:val="center"/>
        </w:trPr>
        <w:tc>
          <w:tcPr>
            <w:tcW w:w="14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p>
        </w:tc>
        <w:tc>
          <w:tcPr>
            <w:tcW w:w="20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机械设备类</w:t>
            </w:r>
          </w:p>
        </w:tc>
        <w:tc>
          <w:tcPr>
            <w:tcW w:w="286" w:type="pct"/>
            <w:gridSpan w:val="2"/>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运输车</w:t>
            </w:r>
          </w:p>
        </w:tc>
        <w:tc>
          <w:tcPr>
            <w:tcW w:w="571"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挖掘机、装载机、自卸</w:t>
            </w:r>
            <w:r>
              <w:rPr>
                <w:rFonts w:hint="eastAsia" w:asciiTheme="majorEastAsia" w:hAnsiTheme="majorEastAsia" w:eastAsiaTheme="majorEastAsia" w:cstheme="majorEastAsia"/>
                <w:kern w:val="0"/>
                <w:sz w:val="21"/>
                <w:szCs w:val="21"/>
                <w:lang w:eastAsia="zh-CN"/>
              </w:rPr>
              <w:t>车</w:t>
            </w:r>
          </w:p>
        </w:tc>
        <w:tc>
          <w:tcPr>
            <w:tcW w:w="815" w:type="pct"/>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司机违规操作</w:t>
            </w:r>
          </w:p>
        </w:tc>
        <w:tc>
          <w:tcPr>
            <w:tcW w:w="547"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一般风险</w:t>
            </w:r>
          </w:p>
        </w:tc>
        <w:tc>
          <w:tcPr>
            <w:tcW w:w="589"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52" w:type="pct"/>
            <w:gridSpan w:val="2"/>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施工车辆限速行驶，车辆不得违规载人</w:t>
            </w:r>
          </w:p>
        </w:tc>
        <w:tc>
          <w:tcPr>
            <w:tcW w:w="431" w:type="pct"/>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项目部管控</w:t>
            </w:r>
          </w:p>
        </w:tc>
        <w:tc>
          <w:tcPr>
            <w:tcW w:w="305"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r>
        <w:tblPrEx>
          <w:tblCellMar>
            <w:top w:w="15" w:type="dxa"/>
            <w:left w:w="15" w:type="dxa"/>
            <w:bottom w:w="15" w:type="dxa"/>
            <w:right w:w="15" w:type="dxa"/>
          </w:tblCellMar>
        </w:tblPrEx>
        <w:trPr>
          <w:gridAfter w:val="1"/>
          <w:wAfter w:w="32" w:type="pct"/>
          <w:trHeight w:val="728" w:hRule="atLeast"/>
          <w:jc w:val="center"/>
        </w:trPr>
        <w:tc>
          <w:tcPr>
            <w:tcW w:w="140" w:type="pct"/>
            <w:gridSpan w:val="2"/>
            <w:tcBorders>
              <w:top w:val="single" w:color="000000"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p>
        </w:tc>
        <w:tc>
          <w:tcPr>
            <w:tcW w:w="205"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设施场所类</w:t>
            </w:r>
          </w:p>
        </w:tc>
        <w:tc>
          <w:tcPr>
            <w:tcW w:w="286" w:type="pct"/>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预制构件场所</w:t>
            </w:r>
          </w:p>
        </w:tc>
        <w:tc>
          <w:tcPr>
            <w:tcW w:w="571"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预制构件制作</w:t>
            </w:r>
          </w:p>
        </w:tc>
        <w:tc>
          <w:tcPr>
            <w:tcW w:w="815" w:type="pct"/>
            <w:gridSpan w:val="3"/>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eastAsia="zh-CN"/>
              </w:rPr>
              <w:t>机械操作不当机械伤人</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eastAsia="zh-CN"/>
              </w:rPr>
              <w:t>低</w:t>
            </w:r>
            <w:r>
              <w:rPr>
                <w:rFonts w:hint="eastAsia" w:asciiTheme="majorEastAsia" w:hAnsiTheme="majorEastAsia" w:eastAsiaTheme="majorEastAsia" w:cstheme="majorEastAsia"/>
                <w:kern w:val="0"/>
                <w:sz w:val="21"/>
                <w:szCs w:val="21"/>
              </w:rPr>
              <w:t>风险</w:t>
            </w:r>
          </w:p>
        </w:tc>
        <w:tc>
          <w:tcPr>
            <w:tcW w:w="58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52"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正确使用劳保用品</w:t>
            </w:r>
          </w:p>
        </w:tc>
        <w:tc>
          <w:tcPr>
            <w:tcW w:w="43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项目部管控</w:t>
            </w:r>
          </w:p>
        </w:tc>
        <w:tc>
          <w:tcPr>
            <w:tcW w:w="305" w:type="pct"/>
            <w:gridSpan w:val="2"/>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r>
        <w:tblPrEx>
          <w:tblCellMar>
            <w:top w:w="15" w:type="dxa"/>
            <w:left w:w="15" w:type="dxa"/>
            <w:bottom w:w="15" w:type="dxa"/>
            <w:right w:w="15" w:type="dxa"/>
          </w:tblCellMar>
        </w:tblPrEx>
        <w:trPr>
          <w:gridAfter w:val="1"/>
          <w:wAfter w:w="32" w:type="pct"/>
          <w:trHeight w:val="795" w:hRule="atLeast"/>
          <w:jc w:val="center"/>
        </w:trPr>
        <w:tc>
          <w:tcPr>
            <w:tcW w:w="140" w:type="pct"/>
            <w:gridSpan w:val="2"/>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p>
        </w:tc>
        <w:tc>
          <w:tcPr>
            <w:tcW w:w="205" w:type="pct"/>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p>
        </w:tc>
        <w:tc>
          <w:tcPr>
            <w:tcW w:w="286" w:type="pct"/>
            <w:gridSpan w:val="2"/>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施工道路、桥梁</w:t>
            </w:r>
          </w:p>
        </w:tc>
        <w:tc>
          <w:tcPr>
            <w:tcW w:w="571"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车辆</w:t>
            </w:r>
          </w:p>
        </w:tc>
        <w:tc>
          <w:tcPr>
            <w:tcW w:w="815" w:type="pct"/>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eastAsia="zh-CN"/>
              </w:rPr>
              <w:t>司机违规操作车祸伤人</w:t>
            </w:r>
          </w:p>
        </w:tc>
        <w:tc>
          <w:tcPr>
            <w:tcW w:w="547"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eastAsia="zh-CN"/>
              </w:rPr>
              <w:t>一般</w:t>
            </w:r>
            <w:r>
              <w:rPr>
                <w:rFonts w:hint="eastAsia" w:asciiTheme="majorEastAsia" w:hAnsiTheme="majorEastAsia" w:eastAsiaTheme="majorEastAsia" w:cstheme="majorEastAsia"/>
                <w:kern w:val="0"/>
                <w:sz w:val="21"/>
                <w:szCs w:val="21"/>
              </w:rPr>
              <w:t>风险</w:t>
            </w:r>
          </w:p>
        </w:tc>
        <w:tc>
          <w:tcPr>
            <w:tcW w:w="589"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52" w:type="pct"/>
            <w:gridSpan w:val="2"/>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施工车辆限速行驶</w:t>
            </w:r>
          </w:p>
        </w:tc>
        <w:tc>
          <w:tcPr>
            <w:tcW w:w="431" w:type="pct"/>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项目部管控</w:t>
            </w:r>
          </w:p>
        </w:tc>
        <w:tc>
          <w:tcPr>
            <w:tcW w:w="305"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r>
        <w:tblPrEx>
          <w:tblCellMar>
            <w:top w:w="15" w:type="dxa"/>
            <w:left w:w="15" w:type="dxa"/>
            <w:bottom w:w="15" w:type="dxa"/>
            <w:right w:w="15" w:type="dxa"/>
          </w:tblCellMar>
        </w:tblPrEx>
        <w:trPr>
          <w:gridAfter w:val="1"/>
          <w:wAfter w:w="32" w:type="pct"/>
          <w:trHeight w:val="623" w:hRule="atLeast"/>
          <w:jc w:val="center"/>
        </w:trPr>
        <w:tc>
          <w:tcPr>
            <w:tcW w:w="14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lang w:val="en-US" w:eastAsia="zh-CN"/>
              </w:rPr>
              <w:t>6</w:t>
            </w:r>
          </w:p>
        </w:tc>
        <w:tc>
          <w:tcPr>
            <w:tcW w:w="20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其他</w:t>
            </w:r>
          </w:p>
        </w:tc>
        <w:tc>
          <w:tcPr>
            <w:tcW w:w="28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消防安全</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生活区用电、明火</w:t>
            </w:r>
          </w:p>
        </w:tc>
        <w:tc>
          <w:tcPr>
            <w:tcW w:w="81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left"/>
              <w:textAlignment w:val="center"/>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rPr>
              <w:t>供电系统</w:t>
            </w:r>
            <w:r>
              <w:rPr>
                <w:rFonts w:hint="eastAsia" w:asciiTheme="majorEastAsia" w:hAnsiTheme="majorEastAsia" w:eastAsiaTheme="majorEastAsia" w:cstheme="majorEastAsia"/>
                <w:sz w:val="21"/>
                <w:szCs w:val="21"/>
                <w:lang w:eastAsia="zh-CN"/>
              </w:rPr>
              <w:t>不足或损坏火灾、触电事故</w:t>
            </w:r>
          </w:p>
        </w:tc>
        <w:tc>
          <w:tcPr>
            <w:tcW w:w="5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低风险</w:t>
            </w:r>
          </w:p>
        </w:tc>
        <w:tc>
          <w:tcPr>
            <w:tcW w:w="58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定期进行巡查，配备足够的灭火器材</w:t>
            </w:r>
          </w:p>
        </w:tc>
        <w:tc>
          <w:tcPr>
            <w:tcW w:w="4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对作业人员进行安全教育。</w:t>
            </w:r>
          </w:p>
        </w:tc>
        <w:tc>
          <w:tcPr>
            <w:tcW w:w="22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16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p>
        </w:tc>
        <w:tc>
          <w:tcPr>
            <w:tcW w:w="2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项目部管控</w:t>
            </w:r>
          </w:p>
        </w:tc>
        <w:tc>
          <w:tcPr>
            <w:tcW w:w="30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崔家红</w:t>
            </w:r>
          </w:p>
          <w:p>
            <w:pPr>
              <w:keepNext w:val="0"/>
              <w:keepLines w:val="0"/>
              <w:pageBreakBefore w:val="0"/>
              <w:kinsoku/>
              <w:wordWrap/>
              <w:overflowPunct/>
              <w:topLinePunct w:val="0"/>
              <w:autoSpaceDE/>
              <w:autoSpaceDN/>
              <w:bidi w:val="0"/>
              <w:adjustRightInd/>
              <w:snapToGrid w:val="0"/>
              <w:spacing w:before="0" w:after="0" w:line="240" w:lineRule="exact"/>
              <w:ind w:left="0" w:firstLine="0"/>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朱石磊</w:t>
            </w:r>
          </w:p>
        </w:tc>
      </w:tr>
    </w:tbl>
    <w:p>
      <w:pPr>
        <w:pageBreakBefore w:val="0"/>
        <w:kinsoku/>
        <w:overflowPunct/>
        <w:topLinePunct w:val="0"/>
        <w:spacing w:line="312" w:lineRule="auto"/>
        <w:rPr>
          <w:rFonts w:hint="eastAsia" w:asciiTheme="majorEastAsia" w:hAnsiTheme="majorEastAsia" w:eastAsiaTheme="majorEastAsia" w:cstheme="majorEastAsia"/>
          <w:sz w:val="24"/>
          <w:szCs w:val="24"/>
        </w:rPr>
        <w:sectPr>
          <w:head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pageBreakBefore w:val="0"/>
        <w:kinsoku/>
        <w:overflowPunct/>
        <w:topLinePunct w:val="0"/>
        <w:spacing w:line="312" w:lineRule="auto"/>
        <w:rPr>
          <w:rFonts w:hint="eastAsia" w:asciiTheme="majorEastAsia" w:hAnsiTheme="majorEastAsia" w:eastAsiaTheme="majorEastAsia" w:cstheme="majorEastAsia"/>
          <w:sz w:val="24"/>
          <w:szCs w:val="24"/>
        </w:rPr>
      </w:pPr>
    </w:p>
    <w:p>
      <w:pPr>
        <w:pStyle w:val="19"/>
        <w:pageBreakBefore w:val="0"/>
        <w:numPr>
          <w:ilvl w:val="0"/>
          <w:numId w:val="0"/>
        </w:numPr>
        <w:shd w:val="clear" w:color="auto" w:fill="auto"/>
        <w:kinsoku/>
        <w:overflowPunct/>
        <w:topLinePunct w:val="0"/>
        <w:spacing w:line="312" w:lineRule="auto"/>
        <w:ind w:right="0" w:rightChars="0"/>
        <w:jc w:val="center"/>
        <w:outlineLvl w:val="0"/>
        <w:rPr>
          <w:rFonts w:hint="eastAsia" w:asciiTheme="majorEastAsia" w:hAnsiTheme="majorEastAsia" w:eastAsiaTheme="majorEastAsia" w:cstheme="majorEastAsia"/>
          <w:sz w:val="24"/>
          <w:szCs w:val="24"/>
          <w:lang w:val="en-US" w:eastAsia="zh-CN"/>
        </w:rPr>
      </w:pPr>
      <w:bookmarkStart w:id="122" w:name="bookmark325"/>
      <w:bookmarkStart w:id="123" w:name="bookmark327"/>
      <w:bookmarkStart w:id="124" w:name="_Toc31128"/>
      <w:bookmarkStart w:id="125" w:name="bookmark326"/>
      <w:bookmarkStart w:id="126" w:name="_Toc11315"/>
      <w:bookmarkStart w:id="127" w:name="_Toc11183"/>
      <w:bookmarkStart w:id="128" w:name="_Toc14633"/>
      <w:r>
        <w:rPr>
          <w:rFonts w:hint="eastAsia" w:asciiTheme="majorEastAsia" w:hAnsiTheme="majorEastAsia" w:eastAsiaTheme="majorEastAsia" w:cstheme="majorEastAsia"/>
          <w:sz w:val="24"/>
          <w:szCs w:val="24"/>
          <w:lang w:val="en-US" w:eastAsia="zh-CN"/>
        </w:rPr>
        <w:t>六、应急预案</w:t>
      </w:r>
      <w:bookmarkEnd w:id="122"/>
      <w:bookmarkEnd w:id="123"/>
      <w:bookmarkEnd w:id="124"/>
      <w:bookmarkEnd w:id="125"/>
      <w:bookmarkEnd w:id="126"/>
      <w:bookmarkEnd w:id="127"/>
      <w:bookmarkEnd w:id="12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针对工程项目存在的重大危险源，项目部组织人员制定重大危险源事故应急预案，建立应急救援组织，并配备应急救援人员、必要的防护装备及应急救援器材、设备、物资。重大危险源事故应急预案编制完成后已报监理单位和项目法人备案。</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通过危险源辨识与风险分析评价可知，本工程涉及的危险源危险有害因素有高处坠落、物体打击、坍塌、机械伤害、触电、火灾等，项目部已组织制定了《河南省“十四五”人民胜利渠灌区续建配套与现代化改造项目2022年度工程施工Ⅲ</w:t>
      </w:r>
      <w:r>
        <w:rPr>
          <w:rFonts w:hint="eastAsia" w:asciiTheme="majorEastAsia" w:hAnsiTheme="majorEastAsia" w:eastAsiaTheme="majorEastAsia" w:cstheme="majorEastAsia"/>
          <w:spacing w:val="0"/>
          <w:w w:val="100"/>
          <w:kern w:val="2"/>
          <w:position w:val="0"/>
          <w:sz w:val="24"/>
          <w:szCs w:val="24"/>
          <w:shd w:val="clear"/>
          <w:lang w:val="en-US" w:eastAsia="zh-CN" w:bidi="ar-SA"/>
        </w:rPr>
        <w:t>标基坑专项</w:t>
      </w:r>
      <w:r>
        <w:rPr>
          <w:rFonts w:hint="eastAsia" w:asciiTheme="majorEastAsia" w:hAnsiTheme="majorEastAsia" w:eastAsiaTheme="majorEastAsia" w:cstheme="majorEastAsia"/>
          <w:spacing w:val="0"/>
          <w:w w:val="100"/>
          <w:kern w:val="2"/>
          <w:position w:val="0"/>
          <w:sz w:val="24"/>
          <w:szCs w:val="24"/>
          <w:shd w:val="clear"/>
          <w:lang w:val="en-US" w:eastAsia="en-US" w:bidi="ar-SA"/>
        </w:rPr>
        <w:t>应急预案》，应急预案已报监理单位和项目法人备案，能够满足要求</w:t>
      </w:r>
      <w:r>
        <w:rPr>
          <w:rFonts w:hint="eastAsia" w:asciiTheme="majorEastAsia" w:hAnsiTheme="majorEastAsia" w:eastAsiaTheme="majorEastAsia" w:cstheme="majorEastAsia"/>
          <w:spacing w:val="0"/>
          <w:w w:val="100"/>
          <w:kern w:val="2"/>
          <w:position w:val="0"/>
          <w:sz w:val="24"/>
          <w:szCs w:val="24"/>
          <w:shd w:val="clear"/>
          <w:lang w:val="en-US" w:eastAsia="zh-CN" w:bidi="ar-SA"/>
        </w:rPr>
        <w:t>。</w:t>
      </w:r>
    </w:p>
    <w:p>
      <w:pPr>
        <w:pageBreakBefore w:val="0"/>
        <w:kinsoku/>
        <w:overflowPunct/>
        <w:topLinePunct w:val="0"/>
        <w:spacing w:line="312" w:lineRule="auto"/>
        <w:rPr>
          <w:rFonts w:hint="eastAsia" w:asciiTheme="majorEastAsia" w:hAnsiTheme="majorEastAsia" w:eastAsiaTheme="majorEastAsia" w:cstheme="majorEastAsia"/>
          <w:color w:val="auto"/>
          <w:spacing w:val="0"/>
          <w:w w:val="100"/>
          <w:position w:val="0"/>
          <w:sz w:val="24"/>
          <w:szCs w:val="24"/>
          <w:lang w:eastAsia="zh-CN"/>
        </w:rPr>
      </w:pPr>
    </w:p>
    <w:p>
      <w:pPr>
        <w:pageBreakBefore w:val="0"/>
        <w:kinsoku/>
        <w:overflowPunct/>
        <w:topLinePunct w:val="0"/>
        <w:spacing w:line="312" w:lineRule="auto"/>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clear" w:color="auto" w:fil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59264" behindDoc="0" locked="0" layoutInCell="1" allowOverlap="1">
          <wp:simplePos x="0" y="0"/>
          <wp:positionH relativeFrom="column">
            <wp:posOffset>872490</wp:posOffset>
          </wp:positionH>
          <wp:positionV relativeFrom="paragraph">
            <wp:posOffset>-30480</wp:posOffset>
          </wp:positionV>
          <wp:extent cx="193040" cy="175260"/>
          <wp:effectExtent l="0" t="0" r="16510" b="15240"/>
          <wp:wrapNone/>
          <wp:docPr id="204" name="图片 24"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4"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-30480</wp:posOffset>
          </wp:positionV>
          <wp:extent cx="193040" cy="175260"/>
          <wp:effectExtent l="0" t="0" r="16510" b="15240"/>
          <wp:wrapNone/>
          <wp:docPr id="23" name="图片 24"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2336" behindDoc="0" locked="0" layoutInCell="1" allowOverlap="1">
          <wp:simplePos x="0" y="0"/>
          <wp:positionH relativeFrom="column">
            <wp:posOffset>872490</wp:posOffset>
          </wp:positionH>
          <wp:positionV relativeFrom="paragraph">
            <wp:posOffset>-30480</wp:posOffset>
          </wp:positionV>
          <wp:extent cx="193040" cy="175260"/>
          <wp:effectExtent l="0" t="0" r="16510" b="15240"/>
          <wp:wrapNone/>
          <wp:docPr id="24" name="图片 24"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3360" behindDoc="0" locked="0" layoutInCell="1" allowOverlap="1">
          <wp:simplePos x="0" y="0"/>
          <wp:positionH relativeFrom="column">
            <wp:posOffset>2672715</wp:posOffset>
          </wp:positionH>
          <wp:positionV relativeFrom="paragraph">
            <wp:posOffset>-30480</wp:posOffset>
          </wp:positionV>
          <wp:extent cx="193040" cy="175260"/>
          <wp:effectExtent l="0" t="0" r="16510" b="15240"/>
          <wp:wrapNone/>
          <wp:docPr id="25" name="图片 25"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4384" behindDoc="0" locked="0" layoutInCell="1" allowOverlap="1">
          <wp:simplePos x="0" y="0"/>
          <wp:positionH relativeFrom="column">
            <wp:posOffset>872490</wp:posOffset>
          </wp:positionH>
          <wp:positionV relativeFrom="paragraph">
            <wp:posOffset>-30480</wp:posOffset>
          </wp:positionV>
          <wp:extent cx="193040" cy="175260"/>
          <wp:effectExtent l="0" t="0" r="16510" b="15240"/>
          <wp:wrapNone/>
          <wp:docPr id="20" name="图片 20"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187FE"/>
    <w:multiLevelType w:val="singleLevel"/>
    <w:tmpl w:val="D42187FE"/>
    <w:lvl w:ilvl="0" w:tentative="0">
      <w:start w:val="1"/>
      <w:numFmt w:val="decimal"/>
      <w:lvlText w:val="%1."/>
      <w:lvlJc w:val="left"/>
      <w:rPr>
        <w:rFonts w:ascii="Times New Roman" w:hAnsi="Times New Roman" w:eastAsia="Times New Roman" w:cs="Times New Roman"/>
        <w:b w:val="0"/>
        <w:bCs w:val="0"/>
        <w:i w:val="0"/>
        <w:iCs w:val="0"/>
        <w:smallCaps w:val="0"/>
        <w:strike w:val="0"/>
        <w:color w:val="727272"/>
        <w:spacing w:val="0"/>
        <w:w w:val="100"/>
        <w:position w:val="0"/>
        <w:sz w:val="14"/>
        <w:szCs w:val="14"/>
        <w:u w:val="none"/>
        <w:shd w:val="clear" w:color="auto" w:fill="auto"/>
        <w:lang w:val="en-US" w:eastAsia="en-US" w:bidi="en-US"/>
      </w:rPr>
    </w:lvl>
  </w:abstractNum>
  <w:abstractNum w:abstractNumId="1">
    <w:nsid w:val="DD474A30"/>
    <w:multiLevelType w:val="singleLevel"/>
    <w:tmpl w:val="DD474A30"/>
    <w:lvl w:ilvl="0" w:tentative="0">
      <w:start w:val="1"/>
      <w:numFmt w:val="decimal"/>
      <w:lvlText w:val="%1."/>
      <w:lvlJc w:val="left"/>
      <w:rPr>
        <w:rFonts w:ascii="Times New Roman" w:hAnsi="Times New Roman" w:eastAsia="Times New Roman" w:cs="Times New Roman"/>
        <w:b w:val="0"/>
        <w:bCs w:val="0"/>
        <w:i w:val="0"/>
        <w:iCs w:val="0"/>
        <w:smallCaps w:val="0"/>
        <w:strike w:val="0"/>
        <w:color w:val="A3A3A3"/>
        <w:spacing w:val="0"/>
        <w:w w:val="100"/>
        <w:position w:val="0"/>
        <w:sz w:val="14"/>
        <w:szCs w:val="14"/>
        <w:u w:val="none"/>
        <w:shd w:val="clear" w:color="auto" w:fill="auto"/>
        <w:lang w:val="en-US" w:eastAsia="en-US" w:bidi="en-US"/>
      </w:rPr>
    </w:lvl>
  </w:abstractNum>
  <w:abstractNum w:abstractNumId="2">
    <w:nsid w:val="3BD13F9F"/>
    <w:multiLevelType w:val="multilevel"/>
    <w:tmpl w:val="3BD13F9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6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DYzOTliODc3ODRjOGE3YjA0NTY2YjI2M2JhYTcifQ=="/>
  </w:docVars>
  <w:rsids>
    <w:rsidRoot w:val="79811441"/>
    <w:rsid w:val="000A002F"/>
    <w:rsid w:val="00377647"/>
    <w:rsid w:val="007B0478"/>
    <w:rsid w:val="00951FEE"/>
    <w:rsid w:val="00A97848"/>
    <w:rsid w:val="00D579F5"/>
    <w:rsid w:val="019B3634"/>
    <w:rsid w:val="01B666C0"/>
    <w:rsid w:val="03920A67"/>
    <w:rsid w:val="03F92894"/>
    <w:rsid w:val="041871BE"/>
    <w:rsid w:val="048D195A"/>
    <w:rsid w:val="05527D7B"/>
    <w:rsid w:val="069845E6"/>
    <w:rsid w:val="084367D4"/>
    <w:rsid w:val="08872B64"/>
    <w:rsid w:val="0A283ED3"/>
    <w:rsid w:val="0A546A76"/>
    <w:rsid w:val="0BC11EE9"/>
    <w:rsid w:val="0C032502"/>
    <w:rsid w:val="0C5F7414"/>
    <w:rsid w:val="0D58687D"/>
    <w:rsid w:val="0E8D2557"/>
    <w:rsid w:val="0EA7186A"/>
    <w:rsid w:val="0F587009"/>
    <w:rsid w:val="10EC1688"/>
    <w:rsid w:val="11531836"/>
    <w:rsid w:val="1275295B"/>
    <w:rsid w:val="128B3251"/>
    <w:rsid w:val="13C94031"/>
    <w:rsid w:val="146A5814"/>
    <w:rsid w:val="14C842E9"/>
    <w:rsid w:val="16AB5C70"/>
    <w:rsid w:val="175D6900"/>
    <w:rsid w:val="17996410"/>
    <w:rsid w:val="17FB2C27"/>
    <w:rsid w:val="18100480"/>
    <w:rsid w:val="185127FF"/>
    <w:rsid w:val="19037FE5"/>
    <w:rsid w:val="191923C5"/>
    <w:rsid w:val="1A2E1092"/>
    <w:rsid w:val="1A44424E"/>
    <w:rsid w:val="1AB23A71"/>
    <w:rsid w:val="1AE06D3B"/>
    <w:rsid w:val="1B566815"/>
    <w:rsid w:val="1B9850FD"/>
    <w:rsid w:val="1C057370"/>
    <w:rsid w:val="1C273FEB"/>
    <w:rsid w:val="1C664320"/>
    <w:rsid w:val="1C8E406A"/>
    <w:rsid w:val="1E780B2E"/>
    <w:rsid w:val="1F3031B6"/>
    <w:rsid w:val="1F4F1509"/>
    <w:rsid w:val="1F925C1F"/>
    <w:rsid w:val="218826C6"/>
    <w:rsid w:val="22995516"/>
    <w:rsid w:val="22D64075"/>
    <w:rsid w:val="22F46D8D"/>
    <w:rsid w:val="232A43C0"/>
    <w:rsid w:val="236E24FF"/>
    <w:rsid w:val="238241FC"/>
    <w:rsid w:val="240370EB"/>
    <w:rsid w:val="24DE5462"/>
    <w:rsid w:val="24F00083"/>
    <w:rsid w:val="253E5DD7"/>
    <w:rsid w:val="26C16DEA"/>
    <w:rsid w:val="27E9484A"/>
    <w:rsid w:val="29553353"/>
    <w:rsid w:val="298078CA"/>
    <w:rsid w:val="29B669AE"/>
    <w:rsid w:val="2A834AE2"/>
    <w:rsid w:val="2AAE58D7"/>
    <w:rsid w:val="2B4324C3"/>
    <w:rsid w:val="2B470CE2"/>
    <w:rsid w:val="2BF37A45"/>
    <w:rsid w:val="2C11436F"/>
    <w:rsid w:val="2C4604BD"/>
    <w:rsid w:val="2CAB6572"/>
    <w:rsid w:val="2D5026CD"/>
    <w:rsid w:val="2E334A71"/>
    <w:rsid w:val="2E813A2E"/>
    <w:rsid w:val="2EAE40F8"/>
    <w:rsid w:val="2EBF4557"/>
    <w:rsid w:val="2ED9694C"/>
    <w:rsid w:val="2EE31FF3"/>
    <w:rsid w:val="2EF064BE"/>
    <w:rsid w:val="2FD31C0A"/>
    <w:rsid w:val="2FDA422A"/>
    <w:rsid w:val="30B359F5"/>
    <w:rsid w:val="31034693"/>
    <w:rsid w:val="314D7BF8"/>
    <w:rsid w:val="3242046E"/>
    <w:rsid w:val="329F0927"/>
    <w:rsid w:val="330E134A"/>
    <w:rsid w:val="33A42A33"/>
    <w:rsid w:val="33BC1065"/>
    <w:rsid w:val="34030A42"/>
    <w:rsid w:val="34060532"/>
    <w:rsid w:val="34476B80"/>
    <w:rsid w:val="350E769E"/>
    <w:rsid w:val="359A53D6"/>
    <w:rsid w:val="363B0967"/>
    <w:rsid w:val="36405F7D"/>
    <w:rsid w:val="36C22E36"/>
    <w:rsid w:val="3851621F"/>
    <w:rsid w:val="38797524"/>
    <w:rsid w:val="39C24DD8"/>
    <w:rsid w:val="3A7206CF"/>
    <w:rsid w:val="3AB64A60"/>
    <w:rsid w:val="3B2D45F6"/>
    <w:rsid w:val="3C261771"/>
    <w:rsid w:val="3C756255"/>
    <w:rsid w:val="3EBF4C56"/>
    <w:rsid w:val="3ED6747E"/>
    <w:rsid w:val="3F087854"/>
    <w:rsid w:val="40031CEF"/>
    <w:rsid w:val="40C81049"/>
    <w:rsid w:val="41175B2C"/>
    <w:rsid w:val="41566655"/>
    <w:rsid w:val="41986C6D"/>
    <w:rsid w:val="41D34149"/>
    <w:rsid w:val="41EE0F83"/>
    <w:rsid w:val="42006C21"/>
    <w:rsid w:val="420F2CA7"/>
    <w:rsid w:val="42666D6B"/>
    <w:rsid w:val="42917A7F"/>
    <w:rsid w:val="42DA6B65"/>
    <w:rsid w:val="4358667F"/>
    <w:rsid w:val="43F53525"/>
    <w:rsid w:val="44B4165A"/>
    <w:rsid w:val="44F763A1"/>
    <w:rsid w:val="453E7B2C"/>
    <w:rsid w:val="45CA13BF"/>
    <w:rsid w:val="464949DA"/>
    <w:rsid w:val="478A7058"/>
    <w:rsid w:val="47F95F8C"/>
    <w:rsid w:val="482B1D2A"/>
    <w:rsid w:val="48396CD0"/>
    <w:rsid w:val="48C74B5B"/>
    <w:rsid w:val="4A38723F"/>
    <w:rsid w:val="4AA85A47"/>
    <w:rsid w:val="4D021BEE"/>
    <w:rsid w:val="4D135D42"/>
    <w:rsid w:val="4DF23BA9"/>
    <w:rsid w:val="4FD33566"/>
    <w:rsid w:val="5024608B"/>
    <w:rsid w:val="51894824"/>
    <w:rsid w:val="51AE7DE7"/>
    <w:rsid w:val="521D6D1B"/>
    <w:rsid w:val="52770B21"/>
    <w:rsid w:val="52E90280"/>
    <w:rsid w:val="53161191"/>
    <w:rsid w:val="53DA3115"/>
    <w:rsid w:val="541F6D7A"/>
    <w:rsid w:val="560C0DA0"/>
    <w:rsid w:val="56B714EC"/>
    <w:rsid w:val="56D24578"/>
    <w:rsid w:val="57062C50"/>
    <w:rsid w:val="578E7E6C"/>
    <w:rsid w:val="58025B2E"/>
    <w:rsid w:val="581D1822"/>
    <w:rsid w:val="589D2963"/>
    <w:rsid w:val="594B3987"/>
    <w:rsid w:val="59613991"/>
    <w:rsid w:val="59E3084A"/>
    <w:rsid w:val="5A4E2167"/>
    <w:rsid w:val="5B1C2265"/>
    <w:rsid w:val="5BC40AB2"/>
    <w:rsid w:val="5CC826A5"/>
    <w:rsid w:val="5D184CAE"/>
    <w:rsid w:val="5D5458CE"/>
    <w:rsid w:val="5D5E6B65"/>
    <w:rsid w:val="5DCB3ACF"/>
    <w:rsid w:val="5E6C52B2"/>
    <w:rsid w:val="5E7B54F5"/>
    <w:rsid w:val="5EDB41E5"/>
    <w:rsid w:val="5F3C5363"/>
    <w:rsid w:val="5F7E529D"/>
    <w:rsid w:val="5FD5231D"/>
    <w:rsid w:val="60025ECE"/>
    <w:rsid w:val="601C6E45"/>
    <w:rsid w:val="60725B3C"/>
    <w:rsid w:val="60B30F76"/>
    <w:rsid w:val="618F2B82"/>
    <w:rsid w:val="62500A46"/>
    <w:rsid w:val="62D43425"/>
    <w:rsid w:val="636B5B38"/>
    <w:rsid w:val="63C92BB2"/>
    <w:rsid w:val="64925476"/>
    <w:rsid w:val="649C61C5"/>
    <w:rsid w:val="64DB0A9B"/>
    <w:rsid w:val="658C7FE7"/>
    <w:rsid w:val="66080CF5"/>
    <w:rsid w:val="6669046B"/>
    <w:rsid w:val="66B9305E"/>
    <w:rsid w:val="67375B65"/>
    <w:rsid w:val="67B57CC9"/>
    <w:rsid w:val="680D18B3"/>
    <w:rsid w:val="69110F2F"/>
    <w:rsid w:val="696A6892"/>
    <w:rsid w:val="69BD4C13"/>
    <w:rsid w:val="6AE34B4E"/>
    <w:rsid w:val="6AEF704E"/>
    <w:rsid w:val="6B4F6682"/>
    <w:rsid w:val="6B947566"/>
    <w:rsid w:val="6BD91AAD"/>
    <w:rsid w:val="6BDD334B"/>
    <w:rsid w:val="6D920165"/>
    <w:rsid w:val="6DA94419"/>
    <w:rsid w:val="6EBE7604"/>
    <w:rsid w:val="6F0F5F11"/>
    <w:rsid w:val="6FB10D76"/>
    <w:rsid w:val="70205EFC"/>
    <w:rsid w:val="70AE3508"/>
    <w:rsid w:val="70C42D2B"/>
    <w:rsid w:val="71665B90"/>
    <w:rsid w:val="71967978"/>
    <w:rsid w:val="71AD010B"/>
    <w:rsid w:val="7221445D"/>
    <w:rsid w:val="72C708B1"/>
    <w:rsid w:val="72F83160"/>
    <w:rsid w:val="7439758C"/>
    <w:rsid w:val="745F3497"/>
    <w:rsid w:val="74AD2BB4"/>
    <w:rsid w:val="74D2215D"/>
    <w:rsid w:val="750C6A4F"/>
    <w:rsid w:val="7541494A"/>
    <w:rsid w:val="756B19C7"/>
    <w:rsid w:val="75D7705D"/>
    <w:rsid w:val="762027B2"/>
    <w:rsid w:val="766A6123"/>
    <w:rsid w:val="767E1BCE"/>
    <w:rsid w:val="76E539FB"/>
    <w:rsid w:val="76EB7264"/>
    <w:rsid w:val="79183C14"/>
    <w:rsid w:val="79811441"/>
    <w:rsid w:val="7A0128FA"/>
    <w:rsid w:val="7A170370"/>
    <w:rsid w:val="7B9D2AF7"/>
    <w:rsid w:val="7B9D3BE0"/>
    <w:rsid w:val="7BDB2D99"/>
    <w:rsid w:val="7BF70459"/>
    <w:rsid w:val="7C354ADD"/>
    <w:rsid w:val="7D1D3EEF"/>
    <w:rsid w:val="7DD10836"/>
    <w:rsid w:val="7E6F077A"/>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hint="eastAsia" w:ascii="等线" w:hAnsi="等线" w:eastAsia="等线"/>
    </w:rPr>
  </w:style>
  <w:style w:type="paragraph" w:styleId="3">
    <w:name w:val="Normal Indent"/>
    <w:basedOn w:val="1"/>
    <w:qFormat/>
    <w:uiPriority w:val="0"/>
    <w:pPr>
      <w:ind w:firstLine="420" w:firstLineChars="200"/>
    </w:pPr>
    <w:rPr>
      <w:kern w:val="0"/>
    </w:rPr>
  </w:style>
  <w:style w:type="paragraph" w:styleId="4">
    <w:name w:val="Body Text"/>
    <w:basedOn w:val="1"/>
    <w:next w:val="5"/>
    <w:qFormat/>
    <w:uiPriority w:val="0"/>
    <w:pPr>
      <w:keepNext w:val="0"/>
      <w:keepLines w:val="0"/>
      <w:widowControl w:val="0"/>
      <w:shd w:val="clear" w:color="auto" w:fill="auto"/>
      <w:bidi w:val="0"/>
      <w:spacing w:before="0" w:after="12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Body Text 2"/>
    <w:basedOn w:val="1"/>
    <w:next w:val="4"/>
    <w:qFormat/>
    <w:uiPriority w:val="0"/>
    <w:pPr>
      <w:keepNext w:val="0"/>
      <w:keepLines w:val="0"/>
      <w:framePr w:hSpace="181" w:vSpace="181" w:wrap="around" w:vAnchor="text" w:hAnchor="text" w:xAlign="center" w:y="1"/>
      <w:widowControl w:val="0"/>
      <w:shd w:val="clear" w:color="auto" w:fill="auto"/>
      <w:autoSpaceDE w:val="0"/>
      <w:autoSpaceDN w:val="0"/>
      <w:bidi w:val="0"/>
      <w:adjustRightInd w:val="0"/>
      <w:snapToGrid w:val="0"/>
      <w:spacing w:before="0" w:after="0" w:line="240" w:lineRule="auto"/>
      <w:ind w:left="0" w:right="0" w:firstLine="200" w:firstLineChars="200"/>
      <w:jc w:val="center"/>
    </w:pPr>
    <w:rPr>
      <w:rFonts w:ascii="楷体_GB2312" w:hAnsi="Times New Roman" w:eastAsia="楷体_GB2312" w:cs="Times New Roman"/>
      <w:color w:val="000000"/>
      <w:spacing w:val="0"/>
      <w:w w:val="100"/>
      <w:kern w:val="0"/>
      <w:position w:val="0"/>
      <w:sz w:val="28"/>
      <w:szCs w:val="24"/>
      <w:shd w:val="clear" w:color="auto" w:fill="auto"/>
      <w:lang w:val="en-US" w:eastAsia="en-US" w:bidi="en-US"/>
    </w:rPr>
  </w:style>
  <w:style w:type="paragraph" w:styleId="6">
    <w:name w:val="Body Text Indent"/>
    <w:basedOn w:val="1"/>
    <w:next w:val="7"/>
    <w:qFormat/>
    <w:uiPriority w:val="0"/>
    <w:pPr>
      <w:spacing w:before="480" w:after="480"/>
      <w:ind w:firstLine="560" w:firstLineChars="200"/>
      <w:jc w:val="left"/>
    </w:pPr>
    <w:rPr>
      <w:rFonts w:ascii="仿宋_GB2312"/>
      <w:color w:val="000000"/>
      <w:sz w:val="28"/>
    </w:rPr>
  </w:style>
  <w:style w:type="paragraph" w:customStyle="1" w:styleId="7">
    <w:name w:val="Default"/>
    <w:next w:val="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note text"/>
    <w:basedOn w:val="1"/>
    <w:unhideWhenUsed/>
    <w:qFormat/>
    <w:uiPriority w:val="99"/>
    <w:pPr>
      <w:snapToGrid w:val="0"/>
    </w:pPr>
    <w:rPr>
      <w:sz w:val="18"/>
      <w:szCs w:val="18"/>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next w:val="1"/>
    <w:qFormat/>
    <w:uiPriority w:val="0"/>
    <w:pPr>
      <w:keepNext w:val="0"/>
      <w:keepLines w:val="0"/>
      <w:widowControl w:val="0"/>
      <w:shd w:val="clear" w:color="auto" w:fill="auto"/>
      <w:bidi w:val="0"/>
      <w:spacing w:before="0" w:after="120" w:line="360" w:lineRule="auto"/>
      <w:ind w:left="0" w:right="0" w:firstLine="420" w:firstLineChars="100"/>
      <w:jc w:val="left"/>
    </w:pPr>
    <w:rPr>
      <w:rFonts w:ascii="Times New Roman" w:hAnsi="Times New Roman" w:eastAsia="Times New Roman" w:cs="Times New Roman"/>
      <w:color w:val="000000"/>
      <w:spacing w:val="0"/>
      <w:w w:val="100"/>
      <w:position w:val="0"/>
      <w:sz w:val="24"/>
      <w:szCs w:val="21"/>
      <w:shd w:val="clear" w:color="auto" w:fill="auto"/>
      <w:lang w:val="en-US" w:eastAsia="en-US" w:bidi="en-US"/>
    </w:rPr>
  </w:style>
  <w:style w:type="paragraph" w:styleId="15">
    <w:name w:val="Body Text First Indent 2"/>
    <w:basedOn w:val="6"/>
    <w:next w:val="1"/>
    <w:unhideWhenUsed/>
    <w:qFormat/>
    <w:uiPriority w:val="0"/>
    <w:pPr>
      <w:ind w:firstLine="420"/>
    </w:pPr>
  </w:style>
  <w:style w:type="paragraph" w:customStyle="1" w:styleId="18">
    <w:name w:val="Heading #4|1"/>
    <w:basedOn w:val="1"/>
    <w:qFormat/>
    <w:uiPriority w:val="0"/>
    <w:pPr>
      <w:widowControl w:val="0"/>
      <w:shd w:val="clear" w:color="auto" w:fill="auto"/>
      <w:spacing w:before="280" w:after="350"/>
      <w:jc w:val="center"/>
      <w:outlineLvl w:val="3"/>
    </w:pPr>
    <w:rPr>
      <w:rFonts w:ascii="宋体" w:hAnsi="宋体" w:eastAsia="宋体" w:cs="宋体"/>
      <w:color w:val="5B5B5B"/>
      <w:sz w:val="26"/>
      <w:szCs w:val="26"/>
      <w:u w:val="none"/>
      <w:shd w:val="clear" w:color="auto" w:fill="auto"/>
      <w:lang w:val="zh-TW" w:eastAsia="zh-TW" w:bidi="zh-TW"/>
    </w:rPr>
  </w:style>
  <w:style w:type="paragraph" w:styleId="19">
    <w:name w:val="List Paragraph"/>
    <w:basedOn w:val="1"/>
    <w:qFormat/>
    <w:uiPriority w:val="34"/>
    <w:pPr>
      <w:ind w:firstLine="420" w:firstLineChars="200"/>
    </w:pPr>
  </w:style>
  <w:style w:type="paragraph" w:customStyle="1" w:styleId="20">
    <w:name w:val="Body text|1"/>
    <w:basedOn w:val="1"/>
    <w:qFormat/>
    <w:uiPriority w:val="0"/>
    <w:pPr>
      <w:widowControl w:val="0"/>
      <w:shd w:val="clear" w:color="auto" w:fill="auto"/>
      <w:spacing w:after="90"/>
    </w:pPr>
    <w:rPr>
      <w:rFonts w:ascii="宋体" w:hAnsi="宋体" w:eastAsia="宋体" w:cs="宋体"/>
      <w:color w:val="727272"/>
      <w:sz w:val="20"/>
      <w:szCs w:val="20"/>
      <w:u w:val="none"/>
      <w:shd w:val="clear" w:color="auto" w:fill="auto"/>
      <w:lang w:val="zh-TW" w:eastAsia="zh-TW" w:bidi="zh-TW"/>
    </w:rPr>
  </w:style>
  <w:style w:type="paragraph" w:customStyle="1" w:styleId="21">
    <w:name w:val="Body text|3"/>
    <w:basedOn w:val="1"/>
    <w:qFormat/>
    <w:uiPriority w:val="0"/>
    <w:pPr>
      <w:widowControl w:val="0"/>
      <w:shd w:val="clear" w:color="auto" w:fill="auto"/>
      <w:spacing w:line="367" w:lineRule="auto"/>
    </w:pPr>
    <w:rPr>
      <w:color w:val="5B5B5B"/>
      <w:sz w:val="20"/>
      <w:szCs w:val="20"/>
      <w:u w:val="none"/>
      <w:shd w:val="clear" w:color="auto" w:fill="auto"/>
      <w:lang w:val="zh-TW" w:eastAsia="zh-TW" w:bidi="zh-TW"/>
    </w:rPr>
  </w:style>
  <w:style w:type="paragraph" w:customStyle="1" w:styleId="22">
    <w:name w:val="Other|1"/>
    <w:basedOn w:val="1"/>
    <w:qFormat/>
    <w:uiPriority w:val="0"/>
    <w:pPr>
      <w:widowControl w:val="0"/>
      <w:shd w:val="clear" w:color="auto" w:fill="auto"/>
    </w:pPr>
    <w:rPr>
      <w:rFonts w:ascii="宋体" w:hAnsi="宋体" w:eastAsia="宋体" w:cs="宋体"/>
      <w:color w:val="3D3D3D"/>
      <w:sz w:val="15"/>
      <w:szCs w:val="15"/>
      <w:u w:val="none"/>
      <w:shd w:val="clear" w:color="auto" w:fill="auto"/>
      <w:lang w:val="zh-TW" w:eastAsia="zh-TW" w:bidi="zh-TW"/>
    </w:rPr>
  </w:style>
  <w:style w:type="paragraph" w:customStyle="1" w:styleId="23">
    <w:name w:val="Heading #2|1"/>
    <w:basedOn w:val="1"/>
    <w:qFormat/>
    <w:uiPriority w:val="0"/>
    <w:pPr>
      <w:widowControl w:val="0"/>
      <w:shd w:val="clear" w:color="auto" w:fill="auto"/>
      <w:spacing w:after="1760"/>
      <w:jc w:val="center"/>
      <w:outlineLvl w:val="1"/>
    </w:pPr>
    <w:rPr>
      <w:rFonts w:ascii="宋体" w:hAnsi="宋体" w:eastAsia="宋体" w:cs="宋体"/>
      <w:color w:val="3D3D3D"/>
      <w:sz w:val="38"/>
      <w:szCs w:val="38"/>
      <w:u w:val="none"/>
      <w:shd w:val="clear" w:color="auto" w:fill="auto"/>
      <w:lang w:val="zh-TW" w:eastAsia="zh-TW" w:bidi="zh-TW"/>
    </w:rPr>
  </w:style>
  <w:style w:type="paragraph" w:customStyle="1" w:styleId="24">
    <w:name w:val="字母编号列项（一级）"/>
    <w:qFormat/>
    <w:uiPriority w:val="0"/>
    <w:pPr>
      <w:tabs>
        <w:tab w:val="left" w:pos="360"/>
        <w:tab w:val="left" w:pos="839"/>
      </w:tabs>
      <w:jc w:val="both"/>
    </w:pPr>
    <w:rPr>
      <w:rFonts w:ascii="宋体" w:hAnsi="Times New Roman" w:eastAsia="宋体" w:cs="Times New Roman"/>
      <w:sz w:val="21"/>
      <w:lang w:val="en-US" w:eastAsia="zh-CN" w:bidi="ar-SA"/>
    </w:rPr>
  </w:style>
  <w:style w:type="character" w:customStyle="1" w:styleId="25">
    <w:name w:val="font11"/>
    <w:basedOn w:val="17"/>
    <w:qFormat/>
    <w:uiPriority w:val="0"/>
    <w:rPr>
      <w:rFonts w:hint="eastAsia" w:ascii="宋体" w:hAnsi="宋体" w:eastAsia="宋体" w:cs="宋体"/>
      <w:color w:val="000000"/>
      <w:sz w:val="20"/>
      <w:szCs w:val="20"/>
      <w:u w:val="none"/>
    </w:rPr>
  </w:style>
  <w:style w:type="character" w:customStyle="1" w:styleId="26">
    <w:name w:val="font01"/>
    <w:basedOn w:val="17"/>
    <w:qFormat/>
    <w:uiPriority w:val="0"/>
    <w:rPr>
      <w:rFonts w:hint="eastAsia" w:ascii="宋体" w:hAnsi="宋体" w:eastAsia="宋体" w:cs="宋体"/>
      <w:color w:val="000000"/>
      <w:sz w:val="20"/>
      <w:szCs w:val="20"/>
      <w:u w:val="none"/>
      <w:vertAlign w:val="superscript"/>
    </w:rPr>
  </w:style>
  <w:style w:type="paragraph" w:customStyle="1" w:styleId="27">
    <w:name w:val="Body text|5"/>
    <w:basedOn w:val="1"/>
    <w:qFormat/>
    <w:uiPriority w:val="0"/>
    <w:pPr>
      <w:widowControl w:val="0"/>
      <w:shd w:val="clear" w:color="auto" w:fill="auto"/>
      <w:spacing w:after="60"/>
    </w:pPr>
    <w:rPr>
      <w:rFonts w:ascii="宋体" w:hAnsi="宋体" w:eastAsia="宋体" w:cs="宋体"/>
      <w:color w:val="3D3D3D"/>
      <w:u w:val="none"/>
      <w:shd w:val="clear" w:color="auto" w:fill="auto"/>
      <w:lang w:val="zh-TW" w:eastAsia="zh-TW" w:bidi="zh-TW"/>
    </w:rPr>
  </w:style>
  <w:style w:type="paragraph" w:customStyle="1" w:styleId="28">
    <w:name w:val="Table caption|1"/>
    <w:basedOn w:val="1"/>
    <w:qFormat/>
    <w:uiPriority w:val="0"/>
    <w:pPr>
      <w:widowControl w:val="0"/>
      <w:shd w:val="clear" w:color="auto" w:fill="auto"/>
    </w:pPr>
    <w:rPr>
      <w:rFonts w:ascii="宋体" w:hAnsi="宋体" w:eastAsia="宋体" w:cs="宋体"/>
      <w:color w:val="727272"/>
      <w:sz w:val="15"/>
      <w:szCs w:val="15"/>
      <w:u w:val="none"/>
      <w:shd w:val="clear" w:color="auto" w:fill="auto"/>
      <w:lang w:val="zh-TW" w:eastAsia="zh-TW" w:bidi="zh-TW"/>
    </w:rPr>
  </w:style>
  <w:style w:type="paragraph" w:customStyle="1" w:styleId="29">
    <w:name w:val="Heading #3|1"/>
    <w:basedOn w:val="1"/>
    <w:qFormat/>
    <w:uiPriority w:val="0"/>
    <w:pPr>
      <w:widowControl w:val="0"/>
      <w:shd w:val="clear" w:color="auto" w:fill="auto"/>
      <w:spacing w:after="120"/>
      <w:ind w:left="560"/>
      <w:outlineLvl w:val="2"/>
    </w:pPr>
    <w:rPr>
      <w:rFonts w:ascii="宋体" w:hAnsi="宋体" w:eastAsia="宋体" w:cs="宋体"/>
      <w:b/>
      <w:bCs/>
      <w:sz w:val="34"/>
      <w:szCs w:val="34"/>
      <w:u w:val="none"/>
      <w:shd w:val="clear" w:color="auto" w:fill="auto"/>
      <w:lang w:val="zh-TW" w:eastAsia="zh-TW" w:bidi="zh-TW"/>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 w:type="paragraph" w:customStyle="1" w:styleId="32">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10545</Words>
  <Characters>11212</Characters>
  <Lines>0</Lines>
  <Paragraphs>0</Paragraphs>
  <TotalTime>0</TotalTime>
  <ScaleCrop>false</ScaleCrop>
  <LinksUpToDate>false</LinksUpToDate>
  <CharactersWithSpaces>11456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2023-03-11T09:18:00Z</dcterms:created>
  <dc:creator>WPS_1615265435</dc:creator>
  <cp:lastModifiedBy>Administrator</cp:lastModifiedBy>
  <dcterms:modified xsi:type="dcterms:W3CDTF">2023-10-17T22:09:17Z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CEA93C1D30114C348851A0486413115D</vt:lpwstr>
  </property>
</Properties>
</file>